
<file path=[Content_Types].xml><?xml version="1.0" encoding="utf-8"?>
<Types xmlns="http://schemas.openxmlformats.org/package/2006/content-types">
  <Default Extension="jpg" ContentType="image/jp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AD6E0E" w14:textId="6157458F" w:rsidR="00E17434" w:rsidRPr="006C6002" w:rsidRDefault="006C6002" w:rsidP="00E86371">
      <w:pPr>
        <w:spacing w:line="360" w:lineRule="auto"/>
        <w:jc w:val="center"/>
        <w:rPr>
          <w:rFonts w:ascii="Calibri" w:hAnsi="Calibri" w:cs="Calibri"/>
          <w:b/>
          <w:bCs/>
          <w:sz w:val="28"/>
          <w:szCs w:val="28"/>
        </w:rPr>
      </w:pPr>
      <w:r>
        <w:rPr>
          <w:rFonts w:ascii="Calibri" w:hAnsi="Calibri" w:cs="Calibri"/>
          <w:b/>
          <w:bCs/>
          <w:sz w:val="28"/>
          <w:szCs w:val="28"/>
        </w:rPr>
        <w:t>How to do judicial review May 2026</w:t>
      </w:r>
    </w:p>
    <w:p w14:paraId="4CCAE5EC" w14:textId="77777777" w:rsidR="000C7081" w:rsidRPr="006C6002" w:rsidRDefault="000C7081" w:rsidP="00E86371">
      <w:pPr>
        <w:spacing w:line="360" w:lineRule="auto"/>
        <w:jc w:val="center"/>
        <w:rPr>
          <w:rFonts w:ascii="Calibri" w:hAnsi="Calibri" w:cs="Calibri"/>
          <w:b/>
          <w:bCs/>
          <w:sz w:val="28"/>
          <w:szCs w:val="28"/>
        </w:rPr>
      </w:pPr>
    </w:p>
    <w:p w14:paraId="4738154A" w14:textId="1EE35BEA" w:rsidR="00E17434" w:rsidRPr="006C6002" w:rsidRDefault="00E17434" w:rsidP="00E86371">
      <w:pPr>
        <w:spacing w:line="360" w:lineRule="auto"/>
        <w:jc w:val="center"/>
        <w:textAlignment w:val="baseline"/>
        <w:rPr>
          <w:rFonts w:ascii="Calibri" w:eastAsia="Arial" w:hAnsi="Calibri" w:cs="Calibri"/>
          <w:b/>
          <w:color w:val="000000"/>
          <w:spacing w:val="-1"/>
          <w:kern w:val="0"/>
          <w:sz w:val="28"/>
          <w:szCs w:val="28"/>
          <w:lang w:val="en-US"/>
          <w14:ligatures w14:val="none"/>
        </w:rPr>
      </w:pPr>
      <w:r w:rsidRPr="006C6002">
        <w:rPr>
          <w:rFonts w:ascii="Calibri" w:eastAsia="Arial" w:hAnsi="Calibri" w:cs="Calibri"/>
          <w:b/>
          <w:color w:val="000000"/>
          <w:spacing w:val="-1"/>
          <w:kern w:val="0"/>
          <w:sz w:val="28"/>
          <w:szCs w:val="28"/>
          <w:lang w:val="en-US"/>
          <w14:ligatures w14:val="none"/>
        </w:rPr>
        <w:t>GROUNDS FOR JUDICIAL REVIEW</w:t>
      </w:r>
      <w:r w:rsidRPr="006C6002">
        <w:rPr>
          <w:rStyle w:val="FootnoteReference"/>
          <w:rFonts w:ascii="Calibri" w:eastAsia="Arial" w:hAnsi="Calibri" w:cs="Calibri"/>
          <w:b/>
          <w:color w:val="000000"/>
          <w:spacing w:val="8"/>
          <w:w w:val="95"/>
          <w:kern w:val="0"/>
          <w:sz w:val="28"/>
          <w:szCs w:val="28"/>
          <w:lang w:val="en-US"/>
          <w14:ligatures w14:val="none"/>
        </w:rPr>
        <w:footnoteReference w:id="1"/>
      </w:r>
    </w:p>
    <w:p w14:paraId="12C747C6" w14:textId="77777777" w:rsidR="000C7081" w:rsidRPr="006C6002" w:rsidRDefault="000C7081" w:rsidP="00E86371">
      <w:pPr>
        <w:spacing w:line="360" w:lineRule="auto"/>
        <w:jc w:val="both"/>
        <w:textAlignment w:val="baseline"/>
        <w:rPr>
          <w:rFonts w:ascii="Calibri" w:eastAsia="Arial" w:hAnsi="Calibri" w:cs="Calibri"/>
          <w:b/>
          <w:color w:val="000000"/>
          <w:spacing w:val="-1"/>
          <w:kern w:val="0"/>
          <w:sz w:val="40"/>
          <w:szCs w:val="40"/>
          <w:lang w:val="en-US"/>
          <w14:ligatures w14:val="none"/>
        </w:rPr>
      </w:pPr>
    </w:p>
    <w:p w14:paraId="7E63139C" w14:textId="3E8EDC65" w:rsidR="00E17434" w:rsidRPr="006C6002" w:rsidRDefault="00DE27A7" w:rsidP="00DE27A7">
      <w:pPr>
        <w:spacing w:line="360" w:lineRule="auto"/>
        <w:ind w:left="360" w:firstLine="354"/>
        <w:jc w:val="both"/>
        <w:rPr>
          <w:rFonts w:ascii="Calibri" w:hAnsi="Calibri" w:cs="Calibri"/>
          <w:b/>
          <w:bCs/>
          <w:sz w:val="24"/>
          <w:szCs w:val="24"/>
          <w:u w:val="single"/>
        </w:rPr>
      </w:pPr>
      <w:r w:rsidRPr="006C6002">
        <w:rPr>
          <w:rFonts w:ascii="Calibri" w:hAnsi="Calibri" w:cs="Calibri"/>
          <w:b/>
          <w:bCs/>
          <w:sz w:val="24"/>
          <w:szCs w:val="24"/>
          <w:u w:val="single"/>
        </w:rPr>
        <w:t>GROUNDS FOR JUDICIAL REVIEW</w:t>
      </w:r>
    </w:p>
    <w:p w14:paraId="2512E8EF" w14:textId="4E9F2D5F" w:rsidR="00E17434" w:rsidRPr="006C6002" w:rsidRDefault="00E17434" w:rsidP="00DE27A7">
      <w:pPr>
        <w:numPr>
          <w:ilvl w:val="0"/>
          <w:numId w:val="1"/>
        </w:numPr>
        <w:tabs>
          <w:tab w:val="num" w:pos="717"/>
        </w:tabs>
        <w:spacing w:after="240" w:line="360" w:lineRule="auto"/>
        <w:ind w:hanging="720"/>
        <w:jc w:val="both"/>
        <w:rPr>
          <w:rFonts w:ascii="Calibri" w:hAnsi="Calibri" w:cs="Calibri"/>
          <w:sz w:val="24"/>
          <w:szCs w:val="24"/>
        </w:rPr>
      </w:pPr>
      <w:r w:rsidRPr="006C6002">
        <w:rPr>
          <w:rFonts w:ascii="Calibri" w:hAnsi="Calibri" w:cs="Calibri"/>
          <w:sz w:val="24"/>
          <w:szCs w:val="24"/>
        </w:rPr>
        <w:t xml:space="preserve">Whether or not a claimant has sufficient interest, has brought a claim sufficiently </w:t>
      </w:r>
      <w:r w:rsidRPr="006C6002">
        <w:rPr>
          <w:rFonts w:ascii="Calibri" w:eastAsia="Times New Roman" w:hAnsi="Calibri" w:cs="Calibri"/>
          <w:kern w:val="0"/>
          <w:sz w:val="24"/>
          <w:szCs w:val="20"/>
          <w14:ligatures w14:val="none"/>
        </w:rPr>
        <w:t>promptly</w:t>
      </w:r>
      <w:r w:rsidRPr="006C6002">
        <w:rPr>
          <w:rFonts w:ascii="Calibri" w:hAnsi="Calibri" w:cs="Calibri"/>
          <w:sz w:val="24"/>
          <w:szCs w:val="24"/>
        </w:rPr>
        <w:t>, is challenging a decision of a public body taken in the exercise of a public function, and has no alternative remedy, a claim for judicial review will only be viable if the claimant can identify and persuade a court that there are grounds for judicial review. As noted above, the judicial review court has traditionally been very reluctant to adjudicate on the merits of the substantive decisions that it has reviewed. But the court will intervene if (and only if) the errors it identifies fall into at least one of certain categories of legal error. These categories of legal error are called judicial review grounds. They are often summarised as follows:</w:t>
      </w:r>
    </w:p>
    <w:p w14:paraId="6DC60C6F" w14:textId="77777777" w:rsidR="00E17434" w:rsidRPr="006C6002" w:rsidRDefault="00E17434" w:rsidP="00DE27A7">
      <w:pPr>
        <w:numPr>
          <w:ilvl w:val="0"/>
          <w:numId w:val="13"/>
        </w:numPr>
        <w:tabs>
          <w:tab w:val="num" w:pos="1447"/>
        </w:tabs>
        <w:spacing w:after="240" w:line="360" w:lineRule="auto"/>
        <w:ind w:left="1447" w:hanging="720"/>
        <w:jc w:val="both"/>
        <w:rPr>
          <w:rFonts w:ascii="Calibri" w:hAnsi="Calibri" w:cs="Calibri"/>
          <w:sz w:val="24"/>
          <w:szCs w:val="24"/>
        </w:rPr>
      </w:pPr>
      <w:proofErr w:type="gramStart"/>
      <w:r w:rsidRPr="006C6002">
        <w:rPr>
          <w:rFonts w:ascii="Calibri" w:eastAsia="Times New Roman" w:hAnsi="Calibri" w:cs="Calibri"/>
          <w:kern w:val="0"/>
          <w:sz w:val="24"/>
          <w:szCs w:val="20"/>
          <w14:ligatures w14:val="none"/>
        </w:rPr>
        <w:t>Illegality</w:t>
      </w:r>
      <w:r w:rsidRPr="006C6002">
        <w:rPr>
          <w:rFonts w:ascii="Calibri" w:hAnsi="Calibri" w:cs="Calibri"/>
          <w:sz w:val="24"/>
          <w:szCs w:val="24"/>
        </w:rPr>
        <w:t>;</w:t>
      </w:r>
      <w:proofErr w:type="gramEnd"/>
    </w:p>
    <w:p w14:paraId="61D8033F" w14:textId="77777777" w:rsidR="00E17434" w:rsidRPr="006C6002" w:rsidRDefault="00E17434" w:rsidP="00DE27A7">
      <w:pPr>
        <w:numPr>
          <w:ilvl w:val="0"/>
          <w:numId w:val="13"/>
        </w:numPr>
        <w:tabs>
          <w:tab w:val="num" w:pos="1447"/>
        </w:tabs>
        <w:spacing w:after="240" w:line="360" w:lineRule="auto"/>
        <w:ind w:left="1447" w:hanging="720"/>
        <w:jc w:val="both"/>
        <w:rPr>
          <w:rFonts w:ascii="Calibri" w:hAnsi="Calibri" w:cs="Calibri"/>
          <w:sz w:val="24"/>
          <w:szCs w:val="24"/>
        </w:rPr>
      </w:pPr>
      <w:proofErr w:type="gramStart"/>
      <w:r w:rsidRPr="006C6002">
        <w:rPr>
          <w:rFonts w:ascii="Calibri" w:eastAsia="Times New Roman" w:hAnsi="Calibri" w:cs="Calibri"/>
          <w:kern w:val="0"/>
          <w:sz w:val="24"/>
          <w:szCs w:val="20"/>
          <w14:ligatures w14:val="none"/>
        </w:rPr>
        <w:t>Irrationality</w:t>
      </w:r>
      <w:r w:rsidRPr="006C6002">
        <w:rPr>
          <w:rFonts w:ascii="Calibri" w:hAnsi="Calibri" w:cs="Calibri"/>
          <w:sz w:val="24"/>
          <w:szCs w:val="24"/>
        </w:rPr>
        <w:t>;</w:t>
      </w:r>
      <w:proofErr w:type="gramEnd"/>
    </w:p>
    <w:p w14:paraId="37016AB8" w14:textId="77777777" w:rsidR="00E17434" w:rsidRPr="006C6002" w:rsidRDefault="00E17434" w:rsidP="00DE27A7">
      <w:pPr>
        <w:numPr>
          <w:ilvl w:val="0"/>
          <w:numId w:val="13"/>
        </w:numPr>
        <w:tabs>
          <w:tab w:val="num" w:pos="1447"/>
        </w:tabs>
        <w:spacing w:after="240" w:line="360" w:lineRule="auto"/>
        <w:ind w:left="1447" w:hanging="720"/>
        <w:jc w:val="both"/>
        <w:rPr>
          <w:rFonts w:ascii="Calibri" w:hAnsi="Calibri" w:cs="Calibri"/>
          <w:sz w:val="24"/>
          <w:szCs w:val="24"/>
        </w:rPr>
      </w:pPr>
      <w:r w:rsidRPr="006C6002">
        <w:rPr>
          <w:rFonts w:ascii="Calibri" w:eastAsia="Times New Roman" w:hAnsi="Calibri" w:cs="Calibri"/>
          <w:kern w:val="0"/>
          <w:sz w:val="24"/>
          <w:szCs w:val="20"/>
          <w14:ligatures w14:val="none"/>
        </w:rPr>
        <w:t>Procedural</w:t>
      </w:r>
      <w:r w:rsidRPr="006C6002">
        <w:rPr>
          <w:rFonts w:ascii="Calibri" w:hAnsi="Calibri" w:cs="Calibri"/>
          <w:sz w:val="24"/>
          <w:szCs w:val="24"/>
        </w:rPr>
        <w:t xml:space="preserve"> unfairness; and somewhat controversially</w:t>
      </w:r>
    </w:p>
    <w:p w14:paraId="5BFC429E" w14:textId="77777777" w:rsidR="00450C42" w:rsidRPr="006C6002" w:rsidRDefault="00E17434" w:rsidP="00DE27A7">
      <w:pPr>
        <w:numPr>
          <w:ilvl w:val="0"/>
          <w:numId w:val="13"/>
        </w:numPr>
        <w:tabs>
          <w:tab w:val="num" w:pos="1447"/>
        </w:tabs>
        <w:spacing w:after="240" w:line="360" w:lineRule="auto"/>
        <w:ind w:left="1447" w:hanging="720"/>
        <w:jc w:val="both"/>
        <w:rPr>
          <w:rFonts w:ascii="Calibri" w:hAnsi="Calibri" w:cs="Calibri"/>
          <w:sz w:val="24"/>
          <w:szCs w:val="24"/>
        </w:rPr>
      </w:pPr>
      <w:r w:rsidRPr="006C6002">
        <w:rPr>
          <w:rFonts w:ascii="Calibri" w:eastAsia="Times New Roman" w:hAnsi="Calibri" w:cs="Calibri"/>
          <w:kern w:val="0"/>
          <w:sz w:val="24"/>
          <w:szCs w:val="20"/>
          <w14:ligatures w14:val="none"/>
        </w:rPr>
        <w:t>Disproportionality</w:t>
      </w:r>
      <w:r w:rsidRPr="006C6002">
        <w:rPr>
          <w:rFonts w:ascii="Calibri" w:hAnsi="Calibri" w:cs="Calibri"/>
          <w:sz w:val="24"/>
          <w:szCs w:val="24"/>
        </w:rPr>
        <w:t>.</w:t>
      </w:r>
    </w:p>
    <w:p w14:paraId="1601C876" w14:textId="590CD2B5" w:rsidR="00E17434" w:rsidRPr="006C6002" w:rsidRDefault="00E17434" w:rsidP="00E86371">
      <w:pPr>
        <w:spacing w:line="360" w:lineRule="auto"/>
        <w:ind w:left="720"/>
        <w:jc w:val="both"/>
        <w:rPr>
          <w:rFonts w:ascii="Calibri" w:hAnsi="Calibri" w:cs="Calibri"/>
          <w:sz w:val="24"/>
          <w:szCs w:val="24"/>
        </w:rPr>
      </w:pPr>
      <w:r w:rsidRPr="006C6002">
        <w:rPr>
          <w:rFonts w:ascii="Calibri" w:eastAsia="Arial" w:hAnsi="Calibri" w:cs="Calibri"/>
          <w:color w:val="000000"/>
          <w:kern w:val="0"/>
          <w:sz w:val="24"/>
          <w:szCs w:val="24"/>
          <w:lang w:val="en-US"/>
          <w14:ligatures w14:val="none"/>
        </w:rPr>
        <w:t>We will consider each category of ground in turn.</w:t>
      </w:r>
    </w:p>
    <w:p w14:paraId="5286F67F" w14:textId="32D80FF2" w:rsidR="00E17434" w:rsidRPr="006C6002" w:rsidRDefault="00E17434" w:rsidP="00DE27A7">
      <w:pPr>
        <w:spacing w:line="360" w:lineRule="auto"/>
        <w:ind w:left="360" w:firstLine="360"/>
        <w:jc w:val="both"/>
        <w:textAlignment w:val="baseline"/>
        <w:rPr>
          <w:rFonts w:ascii="Calibri" w:eastAsia="Arial" w:hAnsi="Calibri" w:cs="Calibri"/>
          <w:b/>
          <w:bCs/>
          <w:color w:val="000000"/>
          <w:kern w:val="0"/>
          <w:sz w:val="24"/>
          <w:szCs w:val="24"/>
          <w:lang w:val="en-US"/>
          <w14:ligatures w14:val="none"/>
        </w:rPr>
      </w:pPr>
      <w:r w:rsidRPr="006C6002">
        <w:rPr>
          <w:rFonts w:ascii="Calibri" w:eastAsia="Arial" w:hAnsi="Calibri" w:cs="Calibri"/>
          <w:b/>
          <w:bCs/>
          <w:color w:val="000000"/>
          <w:kern w:val="0"/>
          <w:sz w:val="24"/>
          <w:szCs w:val="24"/>
          <w:lang w:val="en-US"/>
          <w14:ligatures w14:val="none"/>
        </w:rPr>
        <w:t>Illegality</w:t>
      </w:r>
    </w:p>
    <w:p w14:paraId="69273976" w14:textId="77777777" w:rsidR="00E17434" w:rsidRPr="006C6002" w:rsidRDefault="00E17434" w:rsidP="00257D51">
      <w:pPr>
        <w:numPr>
          <w:ilvl w:val="0"/>
          <w:numId w:val="1"/>
        </w:numPr>
        <w:tabs>
          <w:tab w:val="num" w:pos="717"/>
        </w:tabs>
        <w:spacing w:after="240" w:line="360" w:lineRule="auto"/>
        <w:ind w:hanging="720"/>
        <w:jc w:val="both"/>
        <w:rPr>
          <w:rFonts w:ascii="Calibri" w:hAnsi="Calibri" w:cs="Calibri"/>
          <w:sz w:val="24"/>
          <w:szCs w:val="24"/>
        </w:rPr>
      </w:pPr>
      <w:r w:rsidRPr="006C6002">
        <w:rPr>
          <w:rFonts w:ascii="Calibri" w:hAnsi="Calibri" w:cs="Calibri"/>
          <w:sz w:val="24"/>
          <w:szCs w:val="24"/>
        </w:rPr>
        <w:t xml:space="preserve">This is where bodies subject to judicial review: </w:t>
      </w:r>
    </w:p>
    <w:p w14:paraId="3B44C83B" w14:textId="2E3E960D" w:rsidR="00E17434" w:rsidRPr="006C6002" w:rsidRDefault="00E17434" w:rsidP="00DE27A7">
      <w:pPr>
        <w:numPr>
          <w:ilvl w:val="0"/>
          <w:numId w:val="14"/>
        </w:numPr>
        <w:tabs>
          <w:tab w:val="num" w:pos="1447"/>
        </w:tabs>
        <w:spacing w:after="240" w:line="360" w:lineRule="auto"/>
        <w:ind w:left="1447" w:hanging="720"/>
        <w:jc w:val="both"/>
        <w:rPr>
          <w:rFonts w:ascii="Calibri" w:hAnsi="Calibri" w:cs="Calibri"/>
          <w:sz w:val="24"/>
          <w:szCs w:val="24"/>
        </w:rPr>
      </w:pPr>
      <w:r w:rsidRPr="006C6002">
        <w:rPr>
          <w:rFonts w:ascii="Calibri" w:hAnsi="Calibri" w:cs="Calibri"/>
          <w:sz w:val="24"/>
          <w:szCs w:val="24"/>
        </w:rPr>
        <w:t xml:space="preserve">go </w:t>
      </w:r>
      <w:r w:rsidRPr="006C6002">
        <w:rPr>
          <w:rFonts w:ascii="Calibri" w:eastAsia="Times New Roman" w:hAnsi="Calibri" w:cs="Calibri"/>
          <w:kern w:val="0"/>
          <w:sz w:val="24"/>
          <w:szCs w:val="20"/>
          <w14:ligatures w14:val="none"/>
        </w:rPr>
        <w:t>beyond</w:t>
      </w:r>
      <w:r w:rsidRPr="006C6002">
        <w:rPr>
          <w:rFonts w:ascii="Calibri" w:hAnsi="Calibri" w:cs="Calibri"/>
          <w:sz w:val="24"/>
          <w:szCs w:val="24"/>
        </w:rPr>
        <w:t xml:space="preserve"> the </w:t>
      </w:r>
      <w:r w:rsidRPr="006C6002">
        <w:rPr>
          <w:rFonts w:ascii="Calibri" w:eastAsia="Times New Roman" w:hAnsi="Calibri" w:cs="Calibri"/>
          <w:kern w:val="0"/>
          <w:sz w:val="24"/>
          <w:szCs w:val="20"/>
          <w14:ligatures w14:val="none"/>
        </w:rPr>
        <w:t>limits</w:t>
      </w:r>
      <w:r w:rsidRPr="006C6002">
        <w:rPr>
          <w:rFonts w:ascii="Calibri" w:hAnsi="Calibri" w:cs="Calibri"/>
          <w:sz w:val="24"/>
          <w:szCs w:val="24"/>
        </w:rPr>
        <w:t xml:space="preserve"> of their </w:t>
      </w:r>
      <w:proofErr w:type="gramStart"/>
      <w:r w:rsidRPr="006C6002">
        <w:rPr>
          <w:rFonts w:ascii="Calibri" w:hAnsi="Calibri" w:cs="Calibri"/>
          <w:sz w:val="24"/>
          <w:szCs w:val="24"/>
        </w:rPr>
        <w:t>powers;</w:t>
      </w:r>
      <w:proofErr w:type="gramEnd"/>
    </w:p>
    <w:p w14:paraId="58C2445E" w14:textId="70E9780F" w:rsidR="00E17434" w:rsidRPr="006C6002" w:rsidRDefault="00E17434" w:rsidP="00DE27A7">
      <w:pPr>
        <w:numPr>
          <w:ilvl w:val="0"/>
          <w:numId w:val="14"/>
        </w:numPr>
        <w:tabs>
          <w:tab w:val="num" w:pos="1447"/>
        </w:tabs>
        <w:spacing w:after="240" w:line="360" w:lineRule="auto"/>
        <w:ind w:left="1447" w:hanging="720"/>
        <w:jc w:val="both"/>
        <w:rPr>
          <w:rFonts w:ascii="Calibri" w:hAnsi="Calibri" w:cs="Calibri"/>
          <w:sz w:val="24"/>
          <w:szCs w:val="24"/>
        </w:rPr>
      </w:pPr>
      <w:r w:rsidRPr="006C6002">
        <w:rPr>
          <w:rFonts w:ascii="Calibri" w:eastAsia="Times New Roman" w:hAnsi="Calibri" w:cs="Calibri"/>
          <w:kern w:val="0"/>
          <w:sz w:val="24"/>
          <w:szCs w:val="20"/>
          <w14:ligatures w14:val="none"/>
        </w:rPr>
        <w:lastRenderedPageBreak/>
        <w:t>misdirect</w:t>
      </w:r>
      <w:r w:rsidRPr="006C6002">
        <w:rPr>
          <w:rFonts w:ascii="Calibri" w:hAnsi="Calibri" w:cs="Calibri"/>
          <w:sz w:val="24"/>
          <w:szCs w:val="24"/>
        </w:rPr>
        <w:t xml:space="preserve"> </w:t>
      </w:r>
      <w:r w:rsidRPr="006C6002">
        <w:rPr>
          <w:rFonts w:ascii="Calibri" w:eastAsia="Times New Roman" w:hAnsi="Calibri" w:cs="Calibri"/>
          <w:kern w:val="0"/>
          <w:sz w:val="24"/>
          <w:szCs w:val="20"/>
          <w14:ligatures w14:val="none"/>
        </w:rPr>
        <w:t>themselves</w:t>
      </w:r>
      <w:r w:rsidRPr="006C6002">
        <w:rPr>
          <w:rFonts w:ascii="Calibri" w:hAnsi="Calibri" w:cs="Calibri"/>
          <w:sz w:val="24"/>
          <w:szCs w:val="24"/>
        </w:rPr>
        <w:t xml:space="preserve"> about the scope of their powers, or misapply the law that applies to their </w:t>
      </w:r>
      <w:proofErr w:type="gramStart"/>
      <w:r w:rsidRPr="006C6002">
        <w:rPr>
          <w:rFonts w:ascii="Calibri" w:hAnsi="Calibri" w:cs="Calibri"/>
          <w:sz w:val="24"/>
          <w:szCs w:val="24"/>
        </w:rPr>
        <w:t>decisions;</w:t>
      </w:r>
      <w:proofErr w:type="gramEnd"/>
    </w:p>
    <w:p w14:paraId="2FC5A82F" w14:textId="5EDE5E0B" w:rsidR="00E17434" w:rsidRPr="006C6002" w:rsidRDefault="00E17434" w:rsidP="00DE27A7">
      <w:pPr>
        <w:numPr>
          <w:ilvl w:val="0"/>
          <w:numId w:val="14"/>
        </w:numPr>
        <w:tabs>
          <w:tab w:val="num" w:pos="1447"/>
        </w:tabs>
        <w:spacing w:after="240" w:line="360" w:lineRule="auto"/>
        <w:ind w:left="1447" w:hanging="720"/>
        <w:jc w:val="both"/>
        <w:rPr>
          <w:rFonts w:ascii="Calibri" w:hAnsi="Calibri" w:cs="Calibri"/>
          <w:sz w:val="24"/>
          <w:szCs w:val="24"/>
        </w:rPr>
      </w:pPr>
      <w:r w:rsidRPr="006C6002">
        <w:rPr>
          <w:rFonts w:ascii="Calibri" w:hAnsi="Calibri" w:cs="Calibri"/>
          <w:sz w:val="24"/>
          <w:szCs w:val="24"/>
        </w:rPr>
        <w:t xml:space="preserve">fetter or </w:t>
      </w:r>
      <w:r w:rsidRPr="006C6002">
        <w:rPr>
          <w:rFonts w:ascii="Calibri" w:eastAsia="Times New Roman" w:hAnsi="Calibri" w:cs="Calibri"/>
          <w:kern w:val="0"/>
          <w:sz w:val="24"/>
          <w:szCs w:val="20"/>
          <w14:ligatures w14:val="none"/>
        </w:rPr>
        <w:t>avoid</w:t>
      </w:r>
      <w:r w:rsidRPr="006C6002">
        <w:rPr>
          <w:rFonts w:ascii="Calibri" w:hAnsi="Calibri" w:cs="Calibri"/>
          <w:sz w:val="24"/>
          <w:szCs w:val="24"/>
        </w:rPr>
        <w:t xml:space="preserve"> exercising their discretion in relation to individual </w:t>
      </w:r>
      <w:proofErr w:type="gramStart"/>
      <w:r w:rsidRPr="006C6002">
        <w:rPr>
          <w:rFonts w:ascii="Calibri" w:hAnsi="Calibri" w:cs="Calibri"/>
          <w:sz w:val="24"/>
          <w:szCs w:val="24"/>
        </w:rPr>
        <w:t>cases;</w:t>
      </w:r>
      <w:proofErr w:type="gramEnd"/>
    </w:p>
    <w:p w14:paraId="4CD1EB57" w14:textId="13CAA889" w:rsidR="00E17434" w:rsidRPr="006C6002" w:rsidRDefault="00E17434" w:rsidP="00DE27A7">
      <w:pPr>
        <w:numPr>
          <w:ilvl w:val="0"/>
          <w:numId w:val="14"/>
        </w:numPr>
        <w:tabs>
          <w:tab w:val="num" w:pos="1447"/>
        </w:tabs>
        <w:spacing w:after="240" w:line="360" w:lineRule="auto"/>
        <w:ind w:left="1447" w:hanging="720"/>
        <w:jc w:val="both"/>
        <w:rPr>
          <w:rFonts w:ascii="Calibri" w:hAnsi="Calibri" w:cs="Calibri"/>
          <w:sz w:val="24"/>
          <w:szCs w:val="24"/>
        </w:rPr>
      </w:pPr>
      <w:r w:rsidRPr="006C6002">
        <w:rPr>
          <w:rFonts w:ascii="Calibri" w:eastAsia="Times New Roman" w:hAnsi="Calibri" w:cs="Calibri"/>
          <w:kern w:val="0"/>
          <w:sz w:val="24"/>
          <w:szCs w:val="20"/>
          <w14:ligatures w14:val="none"/>
        </w:rPr>
        <w:t>delegate</w:t>
      </w:r>
      <w:r w:rsidRPr="006C6002">
        <w:rPr>
          <w:rFonts w:ascii="Calibri" w:hAnsi="Calibri" w:cs="Calibri"/>
          <w:sz w:val="24"/>
          <w:szCs w:val="24"/>
        </w:rPr>
        <w:t xml:space="preserve"> </w:t>
      </w:r>
      <w:r w:rsidRPr="006C6002">
        <w:rPr>
          <w:rFonts w:ascii="Calibri" w:eastAsia="Times New Roman" w:hAnsi="Calibri" w:cs="Calibri"/>
          <w:kern w:val="0"/>
          <w:sz w:val="24"/>
          <w:szCs w:val="20"/>
          <w14:ligatures w14:val="none"/>
        </w:rPr>
        <w:t>decisions</w:t>
      </w:r>
      <w:r w:rsidRPr="006C6002">
        <w:rPr>
          <w:rFonts w:ascii="Calibri" w:hAnsi="Calibri" w:cs="Calibri"/>
          <w:sz w:val="24"/>
          <w:szCs w:val="24"/>
        </w:rPr>
        <w:t xml:space="preserve"> for which they are exclusively responsible to other bodies, or allow other bodies to make such decisions for </w:t>
      </w:r>
      <w:proofErr w:type="gramStart"/>
      <w:r w:rsidRPr="006C6002">
        <w:rPr>
          <w:rFonts w:ascii="Calibri" w:hAnsi="Calibri" w:cs="Calibri"/>
          <w:sz w:val="24"/>
          <w:szCs w:val="24"/>
        </w:rPr>
        <w:t>them;</w:t>
      </w:r>
      <w:proofErr w:type="gramEnd"/>
    </w:p>
    <w:p w14:paraId="2C3E4166" w14:textId="60B04FC2" w:rsidR="00E17434" w:rsidRPr="006C6002" w:rsidRDefault="00E17434" w:rsidP="00DE27A7">
      <w:pPr>
        <w:numPr>
          <w:ilvl w:val="0"/>
          <w:numId w:val="14"/>
        </w:numPr>
        <w:tabs>
          <w:tab w:val="num" w:pos="1447"/>
        </w:tabs>
        <w:spacing w:after="240" w:line="360" w:lineRule="auto"/>
        <w:ind w:left="1447" w:hanging="720"/>
        <w:jc w:val="both"/>
        <w:rPr>
          <w:rFonts w:ascii="Calibri" w:eastAsia="Times New Roman" w:hAnsi="Calibri" w:cs="Calibri"/>
          <w:kern w:val="0"/>
          <w:sz w:val="24"/>
          <w:szCs w:val="20"/>
          <w14:ligatures w14:val="none"/>
        </w:rPr>
      </w:pPr>
      <w:r w:rsidRPr="006C6002">
        <w:rPr>
          <w:rFonts w:ascii="Calibri" w:hAnsi="Calibri" w:cs="Calibri"/>
          <w:sz w:val="24"/>
          <w:szCs w:val="24"/>
        </w:rPr>
        <w:t xml:space="preserve">fail </w:t>
      </w:r>
      <w:r w:rsidRPr="006C6002">
        <w:rPr>
          <w:rFonts w:ascii="Calibri" w:eastAsia="Times New Roman" w:hAnsi="Calibri" w:cs="Calibri"/>
          <w:kern w:val="0"/>
          <w:sz w:val="24"/>
          <w:szCs w:val="20"/>
          <w14:ligatures w14:val="none"/>
        </w:rPr>
        <w:t>to</w:t>
      </w:r>
      <w:r w:rsidRPr="006C6002">
        <w:rPr>
          <w:rFonts w:ascii="Calibri" w:hAnsi="Calibri" w:cs="Calibri"/>
          <w:sz w:val="24"/>
          <w:szCs w:val="24"/>
        </w:rPr>
        <w:t xml:space="preserve"> </w:t>
      </w:r>
      <w:r w:rsidRPr="006C6002">
        <w:rPr>
          <w:rFonts w:ascii="Calibri" w:eastAsia="Times New Roman" w:hAnsi="Calibri" w:cs="Calibri"/>
          <w:kern w:val="0"/>
          <w:sz w:val="24"/>
          <w:szCs w:val="20"/>
          <w14:ligatures w14:val="none"/>
        </w:rPr>
        <w:t>ask</w:t>
      </w:r>
      <w:r w:rsidRPr="006C6002">
        <w:rPr>
          <w:rFonts w:ascii="Calibri" w:hAnsi="Calibri" w:cs="Calibri"/>
          <w:sz w:val="24"/>
          <w:szCs w:val="24"/>
        </w:rPr>
        <w:t xml:space="preserve"> the questions necessary to discharge their decision making </w:t>
      </w:r>
      <w:proofErr w:type="gramStart"/>
      <w:r w:rsidRPr="006C6002">
        <w:rPr>
          <w:rFonts w:ascii="Calibri" w:eastAsia="Times New Roman" w:hAnsi="Calibri" w:cs="Calibri"/>
          <w:kern w:val="0"/>
          <w:sz w:val="24"/>
          <w:szCs w:val="20"/>
          <w14:ligatures w14:val="none"/>
        </w:rPr>
        <w:t>functions;</w:t>
      </w:r>
      <w:proofErr w:type="gramEnd"/>
    </w:p>
    <w:p w14:paraId="6C22E52E" w14:textId="66F0A3F6" w:rsidR="00E17434" w:rsidRPr="006C6002" w:rsidRDefault="00E17434" w:rsidP="00DE27A7">
      <w:pPr>
        <w:numPr>
          <w:ilvl w:val="0"/>
          <w:numId w:val="14"/>
        </w:numPr>
        <w:tabs>
          <w:tab w:val="num" w:pos="1447"/>
        </w:tabs>
        <w:spacing w:after="240" w:line="360" w:lineRule="auto"/>
        <w:ind w:left="1447" w:hanging="720"/>
        <w:jc w:val="both"/>
        <w:rPr>
          <w:rFonts w:ascii="Calibri" w:hAnsi="Calibri" w:cs="Calibri"/>
          <w:sz w:val="24"/>
          <w:szCs w:val="24"/>
        </w:rPr>
      </w:pPr>
      <w:proofErr w:type="gramStart"/>
      <w:r w:rsidRPr="006C6002">
        <w:rPr>
          <w:rFonts w:ascii="Calibri" w:eastAsia="Times New Roman" w:hAnsi="Calibri" w:cs="Calibri"/>
          <w:kern w:val="0"/>
          <w:sz w:val="24"/>
          <w:szCs w:val="20"/>
          <w14:ligatures w14:val="none"/>
        </w:rPr>
        <w:t>take</w:t>
      </w:r>
      <w:r w:rsidRPr="006C6002">
        <w:rPr>
          <w:rFonts w:ascii="Calibri" w:hAnsi="Calibri" w:cs="Calibri"/>
          <w:sz w:val="24"/>
          <w:szCs w:val="24"/>
        </w:rPr>
        <w:t xml:space="preserve"> </w:t>
      </w:r>
      <w:r w:rsidRPr="006C6002">
        <w:rPr>
          <w:rFonts w:ascii="Calibri" w:eastAsia="Times New Roman" w:hAnsi="Calibri" w:cs="Calibri"/>
          <w:kern w:val="0"/>
          <w:sz w:val="24"/>
          <w:szCs w:val="20"/>
          <w14:ligatures w14:val="none"/>
        </w:rPr>
        <w:t>into</w:t>
      </w:r>
      <w:r w:rsidRPr="006C6002">
        <w:rPr>
          <w:rFonts w:ascii="Calibri" w:hAnsi="Calibri" w:cs="Calibri"/>
          <w:sz w:val="24"/>
          <w:szCs w:val="24"/>
        </w:rPr>
        <w:t xml:space="preserve"> account</w:t>
      </w:r>
      <w:proofErr w:type="gramEnd"/>
      <w:r w:rsidRPr="006C6002">
        <w:rPr>
          <w:rFonts w:ascii="Calibri" w:hAnsi="Calibri" w:cs="Calibri"/>
          <w:sz w:val="24"/>
          <w:szCs w:val="24"/>
        </w:rPr>
        <w:t xml:space="preserve"> irrelevant considerations or ignore relevant considerations.</w:t>
      </w:r>
    </w:p>
    <w:p w14:paraId="205B8C77" w14:textId="343F90C3" w:rsidR="00E17434" w:rsidRPr="006C6002" w:rsidRDefault="00E17434" w:rsidP="00DE27A7">
      <w:pPr>
        <w:spacing w:line="360" w:lineRule="auto"/>
        <w:ind w:left="360" w:firstLine="360"/>
        <w:jc w:val="both"/>
        <w:rPr>
          <w:rFonts w:ascii="Calibri" w:hAnsi="Calibri" w:cs="Calibri"/>
          <w:i/>
          <w:iCs/>
          <w:sz w:val="24"/>
          <w:szCs w:val="24"/>
        </w:rPr>
      </w:pPr>
      <w:r w:rsidRPr="006C6002">
        <w:rPr>
          <w:rFonts w:ascii="Calibri" w:hAnsi="Calibri" w:cs="Calibri"/>
          <w:i/>
          <w:iCs/>
          <w:sz w:val="24"/>
          <w:szCs w:val="24"/>
        </w:rPr>
        <w:t>Limit of powers</w:t>
      </w:r>
    </w:p>
    <w:p w14:paraId="49B99B8F" w14:textId="3760F1D0" w:rsidR="005F0814" w:rsidRPr="006C6002" w:rsidRDefault="00E17434" w:rsidP="00257D51">
      <w:pPr>
        <w:numPr>
          <w:ilvl w:val="0"/>
          <w:numId w:val="1"/>
        </w:numPr>
        <w:tabs>
          <w:tab w:val="num" w:pos="717"/>
        </w:tabs>
        <w:spacing w:after="240" w:line="360" w:lineRule="auto"/>
        <w:ind w:hanging="720"/>
        <w:jc w:val="both"/>
        <w:rPr>
          <w:rFonts w:ascii="Calibri" w:hAnsi="Calibri" w:cs="Calibri"/>
          <w:sz w:val="24"/>
          <w:szCs w:val="24"/>
        </w:rPr>
      </w:pPr>
      <w:r w:rsidRPr="006C6002">
        <w:rPr>
          <w:rFonts w:ascii="Calibri" w:hAnsi="Calibri" w:cs="Calibri"/>
          <w:sz w:val="24"/>
          <w:szCs w:val="24"/>
        </w:rPr>
        <w:t xml:space="preserve">Decision makers must correctly understand the law that regulates their jurisdiction, functions and decision-making powers and must give effect to it. The failure to do so will render the decision, </w:t>
      </w:r>
      <w:r w:rsidRPr="006C6002">
        <w:rPr>
          <w:rFonts w:ascii="Calibri" w:hAnsi="Calibri" w:cs="Calibri"/>
          <w:b/>
          <w:bCs/>
          <w:sz w:val="24"/>
          <w:szCs w:val="24"/>
        </w:rPr>
        <w:t xml:space="preserve">action or failure to act ‘illegal’, </w:t>
      </w:r>
      <w:r w:rsidRPr="006C6002">
        <w:rPr>
          <w:rFonts w:ascii="Calibri" w:hAnsi="Calibri" w:cs="Calibri"/>
          <w:sz w:val="24"/>
          <w:szCs w:val="24"/>
        </w:rPr>
        <w:t xml:space="preserve">see </w:t>
      </w:r>
      <w:r w:rsidRPr="006C6002">
        <w:rPr>
          <w:rFonts w:ascii="Calibri" w:hAnsi="Calibri" w:cs="Calibri"/>
          <w:i/>
          <w:iCs/>
          <w:sz w:val="24"/>
          <w:szCs w:val="24"/>
        </w:rPr>
        <w:t xml:space="preserve">Council of Civil Service Unions </w:t>
      </w:r>
      <w:proofErr w:type="gramStart"/>
      <w:r w:rsidRPr="006C6002">
        <w:rPr>
          <w:rFonts w:ascii="Calibri" w:hAnsi="Calibri" w:cs="Calibri"/>
          <w:i/>
          <w:iCs/>
          <w:sz w:val="24"/>
          <w:szCs w:val="24"/>
        </w:rPr>
        <w:t>v</w:t>
      </w:r>
      <w:proofErr w:type="gramEnd"/>
      <w:r w:rsidRPr="006C6002">
        <w:rPr>
          <w:rFonts w:ascii="Calibri" w:hAnsi="Calibri" w:cs="Calibri"/>
          <w:i/>
          <w:iCs/>
          <w:sz w:val="24"/>
          <w:szCs w:val="24"/>
        </w:rPr>
        <w:t xml:space="preserve"> Minister for the Civil Service</w:t>
      </w:r>
      <w:r w:rsidRPr="006C6002">
        <w:rPr>
          <w:rFonts w:ascii="Calibri" w:hAnsi="Calibri" w:cs="Calibri"/>
          <w:sz w:val="24"/>
          <w:szCs w:val="24"/>
        </w:rPr>
        <w:t xml:space="preserve"> [1985] AC 374, HL.</w:t>
      </w:r>
    </w:p>
    <w:p w14:paraId="1B166348" w14:textId="3F20AA12" w:rsidR="005F0814" w:rsidRPr="006C6002" w:rsidRDefault="00E17434" w:rsidP="00257D51">
      <w:pPr>
        <w:numPr>
          <w:ilvl w:val="0"/>
          <w:numId w:val="1"/>
        </w:numPr>
        <w:tabs>
          <w:tab w:val="num" w:pos="717"/>
        </w:tabs>
        <w:spacing w:after="240" w:line="360" w:lineRule="auto"/>
        <w:ind w:hanging="720"/>
        <w:jc w:val="both"/>
        <w:rPr>
          <w:rFonts w:ascii="Calibri" w:hAnsi="Calibri" w:cs="Calibri"/>
          <w:sz w:val="24"/>
          <w:szCs w:val="24"/>
        </w:rPr>
      </w:pPr>
      <w:r w:rsidRPr="006C6002">
        <w:rPr>
          <w:rFonts w:ascii="Calibri" w:hAnsi="Calibri" w:cs="Calibri"/>
          <w:sz w:val="24"/>
          <w:szCs w:val="24"/>
        </w:rPr>
        <w:t>The courts may rule an action or a decision illegal if the public body or officer performing it had no power to take it or exceeded their powers. This arises, for example, when the legislation does not contain the necessary power, or it contains precise limits on the circumstances in which a power could be used, and the action or decision in question exceeds those limits. This type of public law wrong is sometimes called</w:t>
      </w:r>
      <w:r w:rsidRPr="006C6002">
        <w:rPr>
          <w:rFonts w:ascii="Calibri" w:hAnsi="Calibri" w:cs="Calibri"/>
          <w:b/>
          <w:bCs/>
          <w:sz w:val="24"/>
          <w:szCs w:val="24"/>
        </w:rPr>
        <w:t xml:space="preserve"> ‘classic ultra vires’ (beyond the powers).</w:t>
      </w:r>
    </w:p>
    <w:p w14:paraId="33034883" w14:textId="70918E8B" w:rsidR="00E17434" w:rsidRPr="006C6002" w:rsidRDefault="00E17434" w:rsidP="00257D51">
      <w:pPr>
        <w:numPr>
          <w:ilvl w:val="0"/>
          <w:numId w:val="1"/>
        </w:numPr>
        <w:tabs>
          <w:tab w:val="num" w:pos="717"/>
        </w:tabs>
        <w:spacing w:after="240" w:line="360" w:lineRule="auto"/>
        <w:ind w:hanging="720"/>
        <w:jc w:val="both"/>
        <w:rPr>
          <w:rFonts w:ascii="Calibri" w:hAnsi="Calibri" w:cs="Calibri"/>
          <w:sz w:val="24"/>
          <w:szCs w:val="24"/>
        </w:rPr>
      </w:pPr>
      <w:r w:rsidRPr="006C6002">
        <w:rPr>
          <w:rFonts w:ascii="Calibri" w:hAnsi="Calibri" w:cs="Calibri"/>
          <w:sz w:val="24"/>
          <w:szCs w:val="24"/>
        </w:rPr>
        <w:t>Examples include:</w:t>
      </w:r>
    </w:p>
    <w:p w14:paraId="20019665" w14:textId="12179BBB" w:rsidR="00E17434" w:rsidRPr="006C6002" w:rsidRDefault="00E17434" w:rsidP="00E86371">
      <w:pPr>
        <w:pStyle w:val="ListParagraph"/>
        <w:numPr>
          <w:ilvl w:val="0"/>
          <w:numId w:val="5"/>
        </w:numPr>
        <w:spacing w:line="360" w:lineRule="auto"/>
        <w:contextualSpacing w:val="0"/>
        <w:jc w:val="both"/>
        <w:rPr>
          <w:rFonts w:ascii="Calibri" w:hAnsi="Calibri" w:cs="Calibri"/>
          <w:sz w:val="24"/>
          <w:szCs w:val="24"/>
        </w:rPr>
      </w:pPr>
      <w:r w:rsidRPr="006C6002">
        <w:rPr>
          <w:rFonts w:ascii="Calibri" w:hAnsi="Calibri" w:cs="Calibri"/>
          <w:i/>
          <w:iCs/>
          <w:sz w:val="24"/>
          <w:szCs w:val="24"/>
        </w:rPr>
        <w:t xml:space="preserve">R v Secretary of State for Health ex </w:t>
      </w:r>
      <w:proofErr w:type="spellStart"/>
      <w:r w:rsidRPr="006C6002">
        <w:rPr>
          <w:rFonts w:ascii="Calibri" w:hAnsi="Calibri" w:cs="Calibri"/>
          <w:i/>
          <w:iCs/>
          <w:sz w:val="24"/>
          <w:szCs w:val="24"/>
        </w:rPr>
        <w:t>parte</w:t>
      </w:r>
      <w:proofErr w:type="spellEnd"/>
      <w:r w:rsidRPr="006C6002">
        <w:rPr>
          <w:rFonts w:ascii="Calibri" w:hAnsi="Calibri" w:cs="Calibri"/>
          <w:i/>
          <w:iCs/>
          <w:sz w:val="24"/>
          <w:szCs w:val="24"/>
        </w:rPr>
        <w:t xml:space="preserve"> Hammersmith and Fulham LBC</w:t>
      </w:r>
      <w:r w:rsidRPr="006C6002">
        <w:rPr>
          <w:rFonts w:ascii="Calibri" w:hAnsi="Calibri" w:cs="Calibri"/>
          <w:sz w:val="24"/>
          <w:szCs w:val="24"/>
        </w:rPr>
        <w:t xml:space="preserve"> </w:t>
      </w:r>
      <w:r w:rsidR="00AB170F" w:rsidRPr="006C6002">
        <w:rPr>
          <w:rFonts w:ascii="Calibri" w:hAnsi="Calibri" w:cs="Calibri"/>
          <w:sz w:val="24"/>
          <w:szCs w:val="24"/>
        </w:rPr>
        <w:t>[</w:t>
      </w:r>
      <w:r w:rsidRPr="006C6002">
        <w:rPr>
          <w:rFonts w:ascii="Calibri" w:hAnsi="Calibri" w:cs="Calibri"/>
          <w:sz w:val="24"/>
          <w:szCs w:val="24"/>
        </w:rPr>
        <w:t>1998</w:t>
      </w:r>
      <w:r w:rsidR="00AB170F" w:rsidRPr="006C6002">
        <w:rPr>
          <w:rFonts w:ascii="Calibri" w:hAnsi="Calibri" w:cs="Calibri"/>
          <w:sz w:val="24"/>
          <w:szCs w:val="24"/>
        </w:rPr>
        <w:t>]</w:t>
      </w:r>
      <w:r w:rsidRPr="006C6002">
        <w:rPr>
          <w:rFonts w:ascii="Calibri" w:hAnsi="Calibri" w:cs="Calibri"/>
          <w:sz w:val="24"/>
          <w:szCs w:val="24"/>
        </w:rPr>
        <w:t xml:space="preserve"> 1 CCLR 96, QBD; asylum seekers could not be provided with cash under the National Assistance Act 1948 since that Act states that local authorities must themselves </w:t>
      </w:r>
      <w:proofErr w:type="gramStart"/>
      <w:r w:rsidRPr="006C6002">
        <w:rPr>
          <w:rFonts w:ascii="Calibri" w:hAnsi="Calibri" w:cs="Calibri"/>
          <w:sz w:val="24"/>
          <w:szCs w:val="24"/>
        </w:rPr>
        <w:t>make arrangements</w:t>
      </w:r>
      <w:proofErr w:type="gramEnd"/>
      <w:r w:rsidRPr="006C6002">
        <w:rPr>
          <w:rFonts w:ascii="Calibri" w:hAnsi="Calibri" w:cs="Calibri"/>
          <w:sz w:val="24"/>
          <w:szCs w:val="24"/>
        </w:rPr>
        <w:t xml:space="preserve"> for services and handing out cash did not fall within that definition.</w:t>
      </w:r>
    </w:p>
    <w:p w14:paraId="77F35B22" w14:textId="4F56F0A0" w:rsidR="00E17434" w:rsidRPr="006C6002" w:rsidRDefault="005D29A8" w:rsidP="00257D51">
      <w:pPr>
        <w:pStyle w:val="ListParagraph"/>
        <w:numPr>
          <w:ilvl w:val="0"/>
          <w:numId w:val="5"/>
        </w:numPr>
        <w:spacing w:line="360" w:lineRule="auto"/>
        <w:contextualSpacing w:val="0"/>
        <w:jc w:val="both"/>
        <w:rPr>
          <w:rFonts w:ascii="Calibri" w:hAnsi="Calibri" w:cs="Calibri"/>
          <w:sz w:val="24"/>
          <w:szCs w:val="24"/>
        </w:rPr>
      </w:pPr>
      <w:r w:rsidRPr="006C6002">
        <w:rPr>
          <w:rFonts w:ascii="Calibri" w:hAnsi="Calibri" w:cs="Calibri"/>
          <w:i/>
          <w:iCs/>
          <w:sz w:val="24"/>
          <w:szCs w:val="24"/>
        </w:rPr>
        <w:lastRenderedPageBreak/>
        <w:t xml:space="preserve">Re Scottish </w:t>
      </w:r>
      <w:r w:rsidR="005F0814" w:rsidRPr="006C6002">
        <w:rPr>
          <w:rFonts w:ascii="Calibri" w:hAnsi="Calibri" w:cs="Calibri"/>
          <w:i/>
          <w:iCs/>
          <w:sz w:val="24"/>
          <w:szCs w:val="24"/>
        </w:rPr>
        <w:t>I</w:t>
      </w:r>
      <w:r w:rsidRPr="006C6002">
        <w:rPr>
          <w:rFonts w:ascii="Calibri" w:hAnsi="Calibri" w:cs="Calibri"/>
          <w:i/>
          <w:iCs/>
          <w:sz w:val="24"/>
          <w:szCs w:val="24"/>
        </w:rPr>
        <w:t xml:space="preserve">ndependence </w:t>
      </w:r>
      <w:r w:rsidR="005F0814" w:rsidRPr="006C6002">
        <w:rPr>
          <w:rFonts w:ascii="Calibri" w:hAnsi="Calibri" w:cs="Calibri"/>
          <w:i/>
          <w:iCs/>
          <w:sz w:val="24"/>
          <w:szCs w:val="24"/>
        </w:rPr>
        <w:t>R</w:t>
      </w:r>
      <w:r w:rsidRPr="006C6002">
        <w:rPr>
          <w:rFonts w:ascii="Calibri" w:hAnsi="Calibri" w:cs="Calibri"/>
          <w:i/>
          <w:iCs/>
          <w:sz w:val="24"/>
          <w:szCs w:val="24"/>
        </w:rPr>
        <w:t>eferendum</w:t>
      </w:r>
      <w:r w:rsidR="005F0814" w:rsidRPr="006C6002">
        <w:rPr>
          <w:rFonts w:ascii="Calibri" w:hAnsi="Calibri" w:cs="Calibri"/>
          <w:i/>
          <w:iCs/>
          <w:sz w:val="24"/>
          <w:szCs w:val="24"/>
        </w:rPr>
        <w:t xml:space="preserve"> Bill</w:t>
      </w:r>
      <w:r w:rsidRPr="006C6002">
        <w:rPr>
          <w:rFonts w:ascii="Calibri" w:hAnsi="Calibri" w:cs="Calibri"/>
          <w:sz w:val="24"/>
          <w:szCs w:val="24"/>
        </w:rPr>
        <w:t xml:space="preserve"> [2022] UKSC 31; the Scottish Parliament did not have the power under the Scotland Act 1998 to pass a Bill for a referendum on Scottish independence.</w:t>
      </w:r>
    </w:p>
    <w:p w14:paraId="63C840C8" w14:textId="0C99198F" w:rsidR="00E17434" w:rsidRPr="006C6002" w:rsidRDefault="00E17434" w:rsidP="00257D51">
      <w:pPr>
        <w:spacing w:line="360" w:lineRule="auto"/>
        <w:ind w:firstLine="720"/>
        <w:jc w:val="both"/>
        <w:rPr>
          <w:rFonts w:ascii="Calibri" w:hAnsi="Calibri" w:cs="Calibri"/>
          <w:i/>
          <w:iCs/>
          <w:sz w:val="24"/>
          <w:szCs w:val="24"/>
        </w:rPr>
      </w:pPr>
      <w:r w:rsidRPr="006C6002">
        <w:rPr>
          <w:rFonts w:ascii="Calibri" w:hAnsi="Calibri" w:cs="Calibri"/>
          <w:i/>
          <w:iCs/>
          <w:sz w:val="24"/>
          <w:szCs w:val="24"/>
        </w:rPr>
        <w:t>Discretion and decision-making</w:t>
      </w:r>
    </w:p>
    <w:p w14:paraId="7B93EAF1" w14:textId="5DC19EEC" w:rsidR="00E17434" w:rsidRPr="006C6002" w:rsidRDefault="00E17434" w:rsidP="00257D51">
      <w:pPr>
        <w:numPr>
          <w:ilvl w:val="0"/>
          <w:numId w:val="1"/>
        </w:numPr>
        <w:tabs>
          <w:tab w:val="num" w:pos="717"/>
        </w:tabs>
        <w:spacing w:after="240" w:line="360" w:lineRule="auto"/>
        <w:ind w:hanging="720"/>
        <w:jc w:val="both"/>
        <w:rPr>
          <w:rFonts w:ascii="Calibri" w:hAnsi="Calibri" w:cs="Calibri"/>
          <w:sz w:val="24"/>
          <w:szCs w:val="24"/>
        </w:rPr>
      </w:pPr>
      <w:r w:rsidRPr="006C6002">
        <w:rPr>
          <w:rFonts w:ascii="Calibri" w:hAnsi="Calibri" w:cs="Calibri"/>
          <w:sz w:val="24"/>
          <w:szCs w:val="24"/>
        </w:rPr>
        <w:t xml:space="preserve">Sometimes legislation allows for the exercise of a wide discretion by the public </w:t>
      </w:r>
      <w:r w:rsidR="009005D8" w:rsidRPr="006C6002">
        <w:rPr>
          <w:rFonts w:ascii="Calibri" w:hAnsi="Calibri" w:cs="Calibri"/>
          <w:sz w:val="24"/>
          <w:szCs w:val="24"/>
        </w:rPr>
        <w:t>body or</w:t>
      </w:r>
      <w:r w:rsidRPr="006C6002">
        <w:rPr>
          <w:rFonts w:ascii="Calibri" w:hAnsi="Calibri" w:cs="Calibri"/>
          <w:sz w:val="24"/>
          <w:szCs w:val="24"/>
        </w:rPr>
        <w:t xml:space="preserve"> provides that a duty should be discharged in certain </w:t>
      </w:r>
      <w:proofErr w:type="gramStart"/>
      <w:r w:rsidRPr="006C6002">
        <w:rPr>
          <w:rFonts w:ascii="Calibri" w:hAnsi="Calibri" w:cs="Calibri"/>
          <w:sz w:val="24"/>
          <w:szCs w:val="24"/>
        </w:rPr>
        <w:t>circumstances, but</w:t>
      </w:r>
      <w:proofErr w:type="gramEnd"/>
      <w:r w:rsidRPr="006C6002">
        <w:rPr>
          <w:rFonts w:ascii="Calibri" w:hAnsi="Calibri" w:cs="Calibri"/>
          <w:sz w:val="24"/>
          <w:szCs w:val="24"/>
        </w:rPr>
        <w:t xml:space="preserve"> does not prescribe a particular process for determining whether those circumstances arise in an individual case. Illegality can occur where the action, failure to act or decision in question violates the common law principles set down by the courts for processes of this kind. There is no such thing as ‘untrammelled discretion’.</w:t>
      </w:r>
    </w:p>
    <w:p w14:paraId="2C6829A0" w14:textId="0F4C04DF" w:rsidR="00E17434" w:rsidRPr="006C6002" w:rsidRDefault="00E17434" w:rsidP="00257D51">
      <w:pPr>
        <w:spacing w:line="360" w:lineRule="auto"/>
        <w:ind w:firstLine="720"/>
        <w:jc w:val="both"/>
        <w:rPr>
          <w:rFonts w:ascii="Calibri" w:hAnsi="Calibri" w:cs="Calibri"/>
          <w:i/>
          <w:iCs/>
          <w:sz w:val="24"/>
          <w:szCs w:val="24"/>
        </w:rPr>
      </w:pPr>
      <w:r w:rsidRPr="006C6002">
        <w:rPr>
          <w:rFonts w:ascii="Calibri" w:hAnsi="Calibri" w:cs="Calibri"/>
          <w:i/>
          <w:iCs/>
          <w:sz w:val="24"/>
          <w:szCs w:val="24"/>
        </w:rPr>
        <w:t>Fettering of discretion</w:t>
      </w:r>
    </w:p>
    <w:p w14:paraId="69B0DEBE" w14:textId="0EBCAC9B" w:rsidR="00CC6174" w:rsidRPr="006C6002" w:rsidRDefault="00E17434" w:rsidP="00257D51">
      <w:pPr>
        <w:numPr>
          <w:ilvl w:val="0"/>
          <w:numId w:val="1"/>
        </w:numPr>
        <w:tabs>
          <w:tab w:val="num" w:pos="717"/>
        </w:tabs>
        <w:spacing w:after="240" w:line="360" w:lineRule="auto"/>
        <w:ind w:hanging="720"/>
        <w:jc w:val="both"/>
        <w:rPr>
          <w:rFonts w:ascii="Calibri" w:hAnsi="Calibri" w:cs="Calibri"/>
          <w:sz w:val="24"/>
          <w:szCs w:val="24"/>
        </w:rPr>
      </w:pPr>
      <w:r w:rsidRPr="006C6002">
        <w:rPr>
          <w:rFonts w:ascii="Calibri" w:hAnsi="Calibri" w:cs="Calibri"/>
          <w:sz w:val="24"/>
          <w:szCs w:val="24"/>
        </w:rPr>
        <w:t xml:space="preserve">This error occurs when the decision is made by reference to and application of a rigidly applied set of rules or criteria. In </w:t>
      </w:r>
      <w:r w:rsidRPr="006C6002">
        <w:rPr>
          <w:rFonts w:ascii="Calibri" w:hAnsi="Calibri" w:cs="Calibri"/>
          <w:i/>
          <w:iCs/>
          <w:sz w:val="24"/>
          <w:szCs w:val="24"/>
        </w:rPr>
        <w:t>R (S) v Secretary of State for the Home Department</w:t>
      </w:r>
      <w:r w:rsidRPr="006C6002">
        <w:rPr>
          <w:rFonts w:ascii="Calibri" w:hAnsi="Calibri" w:cs="Calibri"/>
          <w:sz w:val="24"/>
          <w:szCs w:val="24"/>
        </w:rPr>
        <w:t xml:space="preserve"> [2007] EWCA </w:t>
      </w:r>
      <w:proofErr w:type="spellStart"/>
      <w:r w:rsidRPr="006C6002">
        <w:rPr>
          <w:rFonts w:ascii="Calibri" w:hAnsi="Calibri" w:cs="Calibri"/>
          <w:sz w:val="24"/>
          <w:szCs w:val="24"/>
        </w:rPr>
        <w:t>Civ</w:t>
      </w:r>
      <w:proofErr w:type="spellEnd"/>
      <w:r w:rsidRPr="006C6002">
        <w:rPr>
          <w:rFonts w:ascii="Calibri" w:hAnsi="Calibri" w:cs="Calibri"/>
          <w:sz w:val="24"/>
          <w:szCs w:val="24"/>
        </w:rPr>
        <w:t xml:space="preserve"> 546 the Court summarised this principle, stating that “[a] public authority may not adopt a policy which precludes it from considering individual cases on their merits.” Each case must therefore be considered individually – it is not lawful to apply a ‘blanket policy’; for instance, if a local authority refused to disapply part of its charging policy for domiciliary care without considering the merits of the individual case.</w:t>
      </w:r>
    </w:p>
    <w:p w14:paraId="47148656" w14:textId="564E838A" w:rsidR="00E17434" w:rsidRPr="006C6002" w:rsidRDefault="00E17434" w:rsidP="00257D51">
      <w:pPr>
        <w:numPr>
          <w:ilvl w:val="0"/>
          <w:numId w:val="1"/>
        </w:numPr>
        <w:tabs>
          <w:tab w:val="num" w:pos="717"/>
        </w:tabs>
        <w:spacing w:after="240" w:line="360" w:lineRule="auto"/>
        <w:ind w:hanging="720"/>
        <w:jc w:val="both"/>
        <w:rPr>
          <w:rFonts w:ascii="Calibri" w:hAnsi="Calibri" w:cs="Calibri"/>
          <w:sz w:val="24"/>
          <w:szCs w:val="24"/>
        </w:rPr>
      </w:pPr>
      <w:r w:rsidRPr="006C6002">
        <w:rPr>
          <w:rFonts w:ascii="Calibri" w:hAnsi="Calibri" w:cs="Calibri"/>
          <w:sz w:val="24"/>
          <w:szCs w:val="24"/>
        </w:rPr>
        <w:t xml:space="preserve">For example, although health authorities are entitled to set general policies which may mean that certain forms of medical treatment are not funded, it is unlawful to refuse to consider exceptions: </w:t>
      </w:r>
      <w:r w:rsidRPr="006C6002">
        <w:rPr>
          <w:rFonts w:ascii="Calibri" w:hAnsi="Calibri" w:cs="Calibri"/>
          <w:i/>
          <w:iCs/>
          <w:sz w:val="24"/>
          <w:szCs w:val="24"/>
        </w:rPr>
        <w:t xml:space="preserve">R v </w:t>
      </w:r>
      <w:proofErr w:type="gramStart"/>
      <w:r w:rsidRPr="006C6002">
        <w:rPr>
          <w:rFonts w:ascii="Calibri" w:hAnsi="Calibri" w:cs="Calibri"/>
          <w:i/>
          <w:iCs/>
          <w:sz w:val="24"/>
          <w:szCs w:val="24"/>
        </w:rPr>
        <w:t>North West</w:t>
      </w:r>
      <w:proofErr w:type="gramEnd"/>
      <w:r w:rsidRPr="006C6002">
        <w:rPr>
          <w:rFonts w:ascii="Calibri" w:hAnsi="Calibri" w:cs="Calibri"/>
          <w:i/>
          <w:iCs/>
          <w:sz w:val="24"/>
          <w:szCs w:val="24"/>
        </w:rPr>
        <w:t xml:space="preserve"> Lancashire Health </w:t>
      </w:r>
      <w:r w:rsidRPr="006C6002">
        <w:rPr>
          <w:rFonts w:ascii="Calibri" w:hAnsi="Calibri" w:cs="Calibri"/>
          <w:sz w:val="24"/>
          <w:szCs w:val="24"/>
        </w:rPr>
        <w:t>Authority</w:t>
      </w:r>
      <w:r w:rsidRPr="006C6002">
        <w:rPr>
          <w:rFonts w:ascii="Calibri" w:hAnsi="Calibri" w:cs="Calibri"/>
          <w:i/>
          <w:iCs/>
          <w:sz w:val="24"/>
          <w:szCs w:val="24"/>
        </w:rPr>
        <w:t xml:space="preserve"> ex </w:t>
      </w:r>
      <w:proofErr w:type="spellStart"/>
      <w:r w:rsidRPr="006C6002">
        <w:rPr>
          <w:rFonts w:ascii="Calibri" w:hAnsi="Calibri" w:cs="Calibri"/>
          <w:i/>
          <w:iCs/>
          <w:sz w:val="24"/>
          <w:szCs w:val="24"/>
        </w:rPr>
        <w:t>parte</w:t>
      </w:r>
      <w:proofErr w:type="spellEnd"/>
      <w:r w:rsidRPr="006C6002">
        <w:rPr>
          <w:rFonts w:ascii="Calibri" w:hAnsi="Calibri" w:cs="Calibri"/>
          <w:i/>
          <w:iCs/>
          <w:sz w:val="24"/>
          <w:szCs w:val="24"/>
        </w:rPr>
        <w:t xml:space="preserve"> A, D and G</w:t>
      </w:r>
      <w:r w:rsidRPr="006C6002">
        <w:rPr>
          <w:rFonts w:ascii="Calibri" w:hAnsi="Calibri" w:cs="Calibri"/>
          <w:sz w:val="24"/>
          <w:szCs w:val="24"/>
        </w:rPr>
        <w:t xml:space="preserve"> [2000] 1 WLR 977, CA. An example in the immigration context would be </w:t>
      </w:r>
      <w:r w:rsidRPr="006C6002">
        <w:rPr>
          <w:rFonts w:ascii="Calibri" w:hAnsi="Calibri" w:cs="Calibri"/>
          <w:i/>
          <w:iCs/>
          <w:sz w:val="24"/>
          <w:szCs w:val="24"/>
        </w:rPr>
        <w:t>R (Mayaya) v Secretary of State for the Home Department</w:t>
      </w:r>
      <w:r w:rsidRPr="006C6002">
        <w:rPr>
          <w:rFonts w:ascii="Calibri" w:hAnsi="Calibri" w:cs="Calibri"/>
          <w:sz w:val="24"/>
          <w:szCs w:val="24"/>
        </w:rPr>
        <w:t xml:space="preserve"> [2011] EWHC 3088 in which the </w:t>
      </w:r>
      <w:r w:rsidR="00CC6174" w:rsidRPr="006C6002">
        <w:rPr>
          <w:rFonts w:ascii="Calibri" w:hAnsi="Calibri" w:cs="Calibri"/>
          <w:sz w:val="24"/>
          <w:szCs w:val="24"/>
        </w:rPr>
        <w:t xml:space="preserve">High </w:t>
      </w:r>
      <w:r w:rsidRPr="006C6002">
        <w:rPr>
          <w:rFonts w:ascii="Calibri" w:hAnsi="Calibri" w:cs="Calibri"/>
          <w:sz w:val="24"/>
          <w:szCs w:val="24"/>
        </w:rPr>
        <w:t>Court held that the defendant had unlawfully fettered her discretion to grant indefinite leave to remain by rigidly applying the policy that those convicted of serious crimes needed to have completed 10 years of discretionary leave in order to be eligible for settlement.</w:t>
      </w:r>
    </w:p>
    <w:p w14:paraId="73937716" w14:textId="172425FA" w:rsidR="006B6975" w:rsidRPr="006C6002" w:rsidRDefault="006B6975" w:rsidP="00257D51">
      <w:pPr>
        <w:spacing w:line="360" w:lineRule="auto"/>
        <w:ind w:firstLine="720"/>
        <w:jc w:val="both"/>
        <w:rPr>
          <w:rFonts w:ascii="Calibri" w:hAnsi="Calibri" w:cs="Calibri"/>
          <w:i/>
          <w:iCs/>
          <w:sz w:val="24"/>
          <w:szCs w:val="24"/>
        </w:rPr>
      </w:pPr>
      <w:r w:rsidRPr="006C6002">
        <w:rPr>
          <w:rFonts w:ascii="Calibri" w:hAnsi="Calibri" w:cs="Calibri"/>
          <w:i/>
          <w:iCs/>
          <w:sz w:val="24"/>
          <w:szCs w:val="24"/>
        </w:rPr>
        <w:t>Relevancy</w:t>
      </w:r>
    </w:p>
    <w:p w14:paraId="71500ED2" w14:textId="59B0D3A3" w:rsidR="00CC6174" w:rsidRPr="006C6002" w:rsidRDefault="006B6975" w:rsidP="00257D51">
      <w:pPr>
        <w:numPr>
          <w:ilvl w:val="0"/>
          <w:numId w:val="1"/>
        </w:numPr>
        <w:tabs>
          <w:tab w:val="num" w:pos="717"/>
        </w:tabs>
        <w:spacing w:after="240" w:line="360" w:lineRule="auto"/>
        <w:ind w:hanging="720"/>
        <w:jc w:val="both"/>
        <w:rPr>
          <w:rFonts w:ascii="Calibri" w:hAnsi="Calibri" w:cs="Calibri"/>
          <w:sz w:val="24"/>
          <w:szCs w:val="24"/>
        </w:rPr>
      </w:pPr>
      <w:r w:rsidRPr="006C6002">
        <w:rPr>
          <w:rFonts w:ascii="Calibri" w:hAnsi="Calibri" w:cs="Calibri"/>
          <w:sz w:val="24"/>
          <w:szCs w:val="24"/>
        </w:rPr>
        <w:lastRenderedPageBreak/>
        <w:t>A decision-maker may err by taking irrelevant factors into account or failing to take account of all relevant factors</w:t>
      </w:r>
      <w:r w:rsidR="00CC6174" w:rsidRPr="006C6002">
        <w:rPr>
          <w:rFonts w:ascii="Calibri" w:hAnsi="Calibri" w:cs="Calibri"/>
          <w:sz w:val="24"/>
          <w:szCs w:val="24"/>
        </w:rPr>
        <w:t>. S</w:t>
      </w:r>
      <w:r w:rsidRPr="006C6002">
        <w:rPr>
          <w:rFonts w:ascii="Calibri" w:hAnsi="Calibri" w:cs="Calibri"/>
          <w:sz w:val="24"/>
          <w:szCs w:val="24"/>
        </w:rPr>
        <w:t xml:space="preserve">ometimes the legislation will list the factors to be </w:t>
      </w:r>
      <w:proofErr w:type="gramStart"/>
      <w:r w:rsidRPr="006C6002">
        <w:rPr>
          <w:rFonts w:ascii="Calibri" w:hAnsi="Calibri" w:cs="Calibri"/>
          <w:sz w:val="24"/>
          <w:szCs w:val="24"/>
        </w:rPr>
        <w:t>taken into account</w:t>
      </w:r>
      <w:proofErr w:type="gramEnd"/>
      <w:r w:rsidRPr="006C6002">
        <w:rPr>
          <w:rFonts w:ascii="Calibri" w:hAnsi="Calibri" w:cs="Calibri"/>
          <w:sz w:val="24"/>
          <w:szCs w:val="24"/>
        </w:rPr>
        <w:t>; on other occasions the court will determine what is or is not relevant.</w:t>
      </w:r>
    </w:p>
    <w:p w14:paraId="60319314" w14:textId="134A4D1C" w:rsidR="006B6975" w:rsidRPr="006C6002" w:rsidRDefault="006B6975" w:rsidP="00257D51">
      <w:pPr>
        <w:numPr>
          <w:ilvl w:val="0"/>
          <w:numId w:val="1"/>
        </w:numPr>
        <w:tabs>
          <w:tab w:val="num" w:pos="717"/>
        </w:tabs>
        <w:spacing w:after="240" w:line="360" w:lineRule="auto"/>
        <w:ind w:hanging="720"/>
        <w:jc w:val="both"/>
        <w:rPr>
          <w:rFonts w:ascii="Calibri" w:hAnsi="Calibri" w:cs="Calibri"/>
          <w:sz w:val="24"/>
          <w:szCs w:val="24"/>
        </w:rPr>
      </w:pPr>
      <w:r w:rsidRPr="006C6002">
        <w:rPr>
          <w:rFonts w:ascii="Calibri" w:hAnsi="Calibri" w:cs="Calibri"/>
          <w:sz w:val="24"/>
          <w:szCs w:val="24"/>
        </w:rPr>
        <w:t>For example, in</w:t>
      </w:r>
      <w:r w:rsidR="005F0814" w:rsidRPr="006C6002">
        <w:rPr>
          <w:rFonts w:ascii="Calibri" w:hAnsi="Calibri" w:cs="Calibri"/>
          <w:sz w:val="24"/>
          <w:szCs w:val="24"/>
        </w:rPr>
        <w:t xml:space="preserve"> </w:t>
      </w:r>
      <w:r w:rsidR="005F0814" w:rsidRPr="006C6002">
        <w:rPr>
          <w:rFonts w:ascii="Calibri" w:hAnsi="Calibri" w:cs="Calibri"/>
          <w:i/>
          <w:iCs/>
          <w:sz w:val="24"/>
          <w:szCs w:val="24"/>
        </w:rPr>
        <w:t>Gardner v Secretary of State for Health and Social Care</w:t>
      </w:r>
      <w:r w:rsidR="005F0814" w:rsidRPr="006C6002">
        <w:rPr>
          <w:rFonts w:ascii="Calibri" w:hAnsi="Calibri" w:cs="Calibri"/>
          <w:sz w:val="24"/>
          <w:szCs w:val="24"/>
        </w:rPr>
        <w:t xml:space="preserve"> [2022] EWHC 967 (Admin) the Divisional Court held Government guidance at the start of the Covid-19 pandemic had unlawfully failed to </w:t>
      </w:r>
      <w:proofErr w:type="gramStart"/>
      <w:r w:rsidR="005F0814" w:rsidRPr="006C6002">
        <w:rPr>
          <w:rFonts w:ascii="Calibri" w:hAnsi="Calibri" w:cs="Calibri"/>
          <w:sz w:val="24"/>
          <w:szCs w:val="24"/>
        </w:rPr>
        <w:t>take into account</w:t>
      </w:r>
      <w:proofErr w:type="gramEnd"/>
      <w:r w:rsidR="005F0814" w:rsidRPr="006C6002">
        <w:rPr>
          <w:rFonts w:ascii="Calibri" w:hAnsi="Calibri" w:cs="Calibri"/>
          <w:sz w:val="24"/>
          <w:szCs w:val="24"/>
        </w:rPr>
        <w:t xml:space="preserve"> the relevant factor of whether hospital patients discharged into care homes should be quarantined for 14 days.</w:t>
      </w:r>
    </w:p>
    <w:p w14:paraId="68E4530F" w14:textId="77777777" w:rsidR="006B6975" w:rsidRPr="006C6002" w:rsidRDefault="006B6975" w:rsidP="00257D51">
      <w:pPr>
        <w:spacing w:line="360" w:lineRule="auto"/>
        <w:ind w:firstLine="720"/>
        <w:jc w:val="both"/>
        <w:rPr>
          <w:rFonts w:ascii="Calibri" w:hAnsi="Calibri" w:cs="Calibri"/>
          <w:i/>
          <w:iCs/>
          <w:sz w:val="24"/>
          <w:szCs w:val="24"/>
        </w:rPr>
      </w:pPr>
      <w:r w:rsidRPr="006C6002">
        <w:rPr>
          <w:rFonts w:ascii="Calibri" w:hAnsi="Calibri" w:cs="Calibri"/>
          <w:i/>
          <w:iCs/>
          <w:sz w:val="24"/>
          <w:szCs w:val="24"/>
        </w:rPr>
        <w:t>Asking the right question and undertaking a sufficient enquiry</w:t>
      </w:r>
    </w:p>
    <w:p w14:paraId="486EB60C" w14:textId="0A55A923" w:rsidR="00CC6174" w:rsidRPr="006C6002" w:rsidRDefault="006B6975" w:rsidP="00257D51">
      <w:pPr>
        <w:numPr>
          <w:ilvl w:val="0"/>
          <w:numId w:val="1"/>
        </w:numPr>
        <w:tabs>
          <w:tab w:val="num" w:pos="717"/>
        </w:tabs>
        <w:spacing w:after="240" w:line="360" w:lineRule="auto"/>
        <w:ind w:hanging="720"/>
        <w:jc w:val="both"/>
        <w:rPr>
          <w:rFonts w:ascii="Calibri" w:hAnsi="Calibri" w:cs="Calibri"/>
          <w:sz w:val="24"/>
          <w:szCs w:val="24"/>
        </w:rPr>
      </w:pPr>
      <w:r w:rsidRPr="006C6002">
        <w:rPr>
          <w:rFonts w:ascii="Calibri" w:hAnsi="Calibri" w:cs="Calibri"/>
          <w:sz w:val="24"/>
          <w:szCs w:val="24"/>
        </w:rPr>
        <w:t xml:space="preserve">Two </w:t>
      </w:r>
      <w:proofErr w:type="gramStart"/>
      <w:r w:rsidRPr="006C6002">
        <w:rPr>
          <w:rFonts w:ascii="Calibri" w:hAnsi="Calibri" w:cs="Calibri"/>
          <w:sz w:val="24"/>
          <w:szCs w:val="24"/>
        </w:rPr>
        <w:t>closely-related</w:t>
      </w:r>
      <w:proofErr w:type="gramEnd"/>
      <w:r w:rsidRPr="006C6002">
        <w:rPr>
          <w:rFonts w:ascii="Calibri" w:hAnsi="Calibri" w:cs="Calibri"/>
          <w:sz w:val="24"/>
          <w:szCs w:val="24"/>
        </w:rPr>
        <w:t xml:space="preserve"> errors are failure by the decision maker to ask herself/ himself the correct question which enables a discretionary power to be properly exercised, and failure to take reasonable steps to ensure that s/he has the information on which a proper decision can be based. See </w:t>
      </w:r>
      <w:r w:rsidRPr="006C6002">
        <w:rPr>
          <w:rFonts w:ascii="Calibri" w:hAnsi="Calibri" w:cs="Calibri"/>
          <w:i/>
          <w:iCs/>
          <w:sz w:val="24"/>
          <w:szCs w:val="24"/>
        </w:rPr>
        <w:t>Secretary of State for Education and Science v Tameside Metropolitan Borough Council</w:t>
      </w:r>
      <w:r w:rsidRPr="006C6002">
        <w:rPr>
          <w:rFonts w:ascii="Calibri" w:hAnsi="Calibri" w:cs="Calibri"/>
          <w:sz w:val="24"/>
          <w:szCs w:val="24"/>
        </w:rPr>
        <w:t xml:space="preserve"> [1977] AC 1014.</w:t>
      </w:r>
    </w:p>
    <w:p w14:paraId="1163D76E" w14:textId="77777777" w:rsidR="006B6975" w:rsidRPr="006C6002" w:rsidRDefault="006B6975" w:rsidP="00257D51">
      <w:pPr>
        <w:numPr>
          <w:ilvl w:val="0"/>
          <w:numId w:val="1"/>
        </w:numPr>
        <w:tabs>
          <w:tab w:val="num" w:pos="717"/>
        </w:tabs>
        <w:spacing w:after="240" w:line="360" w:lineRule="auto"/>
        <w:ind w:hanging="720"/>
        <w:jc w:val="both"/>
        <w:rPr>
          <w:rFonts w:ascii="Calibri" w:hAnsi="Calibri" w:cs="Calibri"/>
          <w:sz w:val="24"/>
          <w:szCs w:val="24"/>
        </w:rPr>
      </w:pPr>
      <w:r w:rsidRPr="006C6002">
        <w:rPr>
          <w:rFonts w:ascii="Calibri" w:hAnsi="Calibri" w:cs="Calibri"/>
          <w:sz w:val="24"/>
          <w:szCs w:val="24"/>
        </w:rPr>
        <w:t>For example, in homelessness law a person should not be treated as acting deliberately, in relation to giving up or losing their home, if they acted in good faith in ignorance of a relevant fact. A local authority that asks whether the person acted reasonably is asking the wrong question; the question is whether the person acted in good faith.</w:t>
      </w:r>
    </w:p>
    <w:p w14:paraId="388DC8A1" w14:textId="77777777" w:rsidR="006B6975" w:rsidRPr="006C6002" w:rsidRDefault="006B6975" w:rsidP="00257D51">
      <w:pPr>
        <w:spacing w:line="360" w:lineRule="auto"/>
        <w:ind w:firstLine="720"/>
        <w:jc w:val="both"/>
        <w:rPr>
          <w:rFonts w:ascii="Calibri" w:hAnsi="Calibri" w:cs="Calibri"/>
          <w:i/>
          <w:iCs/>
          <w:sz w:val="24"/>
          <w:szCs w:val="24"/>
        </w:rPr>
      </w:pPr>
      <w:r w:rsidRPr="006C6002">
        <w:rPr>
          <w:rFonts w:ascii="Calibri" w:hAnsi="Calibri" w:cs="Calibri"/>
          <w:i/>
          <w:iCs/>
          <w:sz w:val="24"/>
          <w:szCs w:val="24"/>
        </w:rPr>
        <w:t>Unlawful sub-delegation and ceding power to another body</w:t>
      </w:r>
    </w:p>
    <w:p w14:paraId="32568C60" w14:textId="77777777" w:rsidR="006B6975" w:rsidRPr="006C6002" w:rsidRDefault="006B6975" w:rsidP="00257D51">
      <w:pPr>
        <w:numPr>
          <w:ilvl w:val="0"/>
          <w:numId w:val="1"/>
        </w:numPr>
        <w:tabs>
          <w:tab w:val="num" w:pos="717"/>
        </w:tabs>
        <w:spacing w:after="240" w:line="360" w:lineRule="auto"/>
        <w:ind w:hanging="720"/>
        <w:jc w:val="both"/>
        <w:rPr>
          <w:rFonts w:ascii="Calibri" w:hAnsi="Calibri" w:cs="Calibri"/>
          <w:sz w:val="24"/>
          <w:szCs w:val="24"/>
        </w:rPr>
      </w:pPr>
      <w:r w:rsidRPr="006C6002">
        <w:rPr>
          <w:rFonts w:ascii="Calibri" w:hAnsi="Calibri" w:cs="Calibri"/>
          <w:sz w:val="24"/>
          <w:szCs w:val="24"/>
        </w:rPr>
        <w:t xml:space="preserve">Though public bodies are often empowered to discharge their duties or exercise their powers through others, sometimes it will be clear that a function cannot properly be delegated to another, or that the body must take responsibility for reaching a decision itself. See </w:t>
      </w:r>
      <w:r w:rsidRPr="006C6002">
        <w:rPr>
          <w:rFonts w:ascii="Calibri" w:hAnsi="Calibri" w:cs="Calibri"/>
          <w:i/>
          <w:iCs/>
          <w:sz w:val="24"/>
          <w:szCs w:val="24"/>
        </w:rPr>
        <w:t xml:space="preserve">R v Devon Country Council ex </w:t>
      </w:r>
      <w:proofErr w:type="spellStart"/>
      <w:r w:rsidRPr="006C6002">
        <w:rPr>
          <w:rFonts w:ascii="Calibri" w:hAnsi="Calibri" w:cs="Calibri"/>
          <w:i/>
          <w:iCs/>
          <w:sz w:val="24"/>
          <w:szCs w:val="24"/>
        </w:rPr>
        <w:t>parte</w:t>
      </w:r>
      <w:proofErr w:type="spellEnd"/>
      <w:r w:rsidRPr="006C6002">
        <w:rPr>
          <w:rFonts w:ascii="Calibri" w:hAnsi="Calibri" w:cs="Calibri"/>
          <w:i/>
          <w:iCs/>
          <w:sz w:val="24"/>
          <w:szCs w:val="24"/>
        </w:rPr>
        <w:t xml:space="preserve"> G</w:t>
      </w:r>
      <w:r w:rsidRPr="006C6002">
        <w:rPr>
          <w:rFonts w:ascii="Calibri" w:hAnsi="Calibri" w:cs="Calibri"/>
          <w:sz w:val="24"/>
          <w:szCs w:val="24"/>
        </w:rPr>
        <w:t xml:space="preserve"> [1989] AC 573.</w:t>
      </w:r>
    </w:p>
    <w:p w14:paraId="3D540815" w14:textId="77777777" w:rsidR="006B6975" w:rsidRPr="006C6002" w:rsidRDefault="006B6975" w:rsidP="00257D51">
      <w:pPr>
        <w:spacing w:line="360" w:lineRule="auto"/>
        <w:ind w:firstLine="720"/>
        <w:jc w:val="both"/>
        <w:rPr>
          <w:rFonts w:ascii="Calibri" w:hAnsi="Calibri" w:cs="Calibri"/>
          <w:i/>
          <w:iCs/>
          <w:sz w:val="24"/>
          <w:szCs w:val="24"/>
        </w:rPr>
      </w:pPr>
      <w:r w:rsidRPr="006C6002">
        <w:rPr>
          <w:rFonts w:ascii="Calibri" w:hAnsi="Calibri" w:cs="Calibri"/>
          <w:i/>
          <w:iCs/>
          <w:sz w:val="24"/>
          <w:szCs w:val="24"/>
        </w:rPr>
        <w:t>Undermining the legislative purpose</w:t>
      </w:r>
    </w:p>
    <w:p w14:paraId="5BC6D2DC" w14:textId="3E19A22F" w:rsidR="006B6975" w:rsidRPr="006C6002" w:rsidRDefault="006B6975" w:rsidP="00257D51">
      <w:pPr>
        <w:numPr>
          <w:ilvl w:val="0"/>
          <w:numId w:val="1"/>
        </w:numPr>
        <w:tabs>
          <w:tab w:val="num" w:pos="717"/>
        </w:tabs>
        <w:spacing w:after="240" w:line="360" w:lineRule="auto"/>
        <w:ind w:hanging="720"/>
        <w:jc w:val="both"/>
        <w:rPr>
          <w:rFonts w:ascii="Calibri" w:hAnsi="Calibri" w:cs="Calibri"/>
          <w:sz w:val="24"/>
          <w:szCs w:val="24"/>
        </w:rPr>
      </w:pPr>
      <w:r w:rsidRPr="006C6002">
        <w:rPr>
          <w:rFonts w:ascii="Calibri" w:hAnsi="Calibri" w:cs="Calibri"/>
          <w:sz w:val="24"/>
          <w:szCs w:val="24"/>
        </w:rPr>
        <w:t xml:space="preserve">Public authorities owe a basic duty to promote the purposes and policy of the statute under which they are operating. They must not use their discretion to thwart the purpose of the legislation. See </w:t>
      </w:r>
      <w:r w:rsidRPr="006C6002">
        <w:rPr>
          <w:rFonts w:ascii="Calibri" w:hAnsi="Calibri" w:cs="Calibri"/>
          <w:i/>
          <w:iCs/>
          <w:sz w:val="24"/>
          <w:szCs w:val="24"/>
        </w:rPr>
        <w:t xml:space="preserve">Padfield v </w:t>
      </w:r>
      <w:r w:rsidR="00CC6174" w:rsidRPr="006C6002">
        <w:rPr>
          <w:rFonts w:ascii="Calibri" w:hAnsi="Calibri" w:cs="Calibri"/>
          <w:i/>
          <w:iCs/>
          <w:sz w:val="24"/>
          <w:szCs w:val="24"/>
        </w:rPr>
        <w:t>Minister of Agriculture, Fisheries and Food</w:t>
      </w:r>
      <w:r w:rsidR="00CC6174" w:rsidRPr="006C6002">
        <w:rPr>
          <w:rFonts w:ascii="Calibri" w:hAnsi="Calibri" w:cs="Calibri"/>
          <w:sz w:val="24"/>
          <w:szCs w:val="24"/>
        </w:rPr>
        <w:t xml:space="preserve"> </w:t>
      </w:r>
      <w:r w:rsidRPr="006C6002">
        <w:rPr>
          <w:rFonts w:ascii="Calibri" w:hAnsi="Calibri" w:cs="Calibri"/>
          <w:sz w:val="24"/>
          <w:szCs w:val="24"/>
        </w:rPr>
        <w:t>[1968] AC 977, HL.</w:t>
      </w:r>
    </w:p>
    <w:p w14:paraId="75943BD4" w14:textId="77777777" w:rsidR="006B6975" w:rsidRPr="006C6002" w:rsidRDefault="006B6975" w:rsidP="00257D51">
      <w:pPr>
        <w:spacing w:line="360" w:lineRule="auto"/>
        <w:ind w:firstLine="720"/>
        <w:jc w:val="both"/>
        <w:rPr>
          <w:rFonts w:ascii="Calibri" w:hAnsi="Calibri" w:cs="Calibri"/>
          <w:i/>
          <w:iCs/>
          <w:sz w:val="24"/>
          <w:szCs w:val="24"/>
        </w:rPr>
      </w:pPr>
      <w:r w:rsidRPr="006C6002">
        <w:rPr>
          <w:rFonts w:ascii="Calibri" w:hAnsi="Calibri" w:cs="Calibri"/>
          <w:i/>
          <w:iCs/>
          <w:sz w:val="24"/>
          <w:szCs w:val="24"/>
        </w:rPr>
        <w:lastRenderedPageBreak/>
        <w:t>Impact of the Human Rights Act 1998 on illegality challenges</w:t>
      </w:r>
    </w:p>
    <w:p w14:paraId="2BA9246A" w14:textId="4BF90E9F" w:rsidR="00CC6174" w:rsidRPr="006C6002" w:rsidRDefault="006B6975" w:rsidP="00257D51">
      <w:pPr>
        <w:numPr>
          <w:ilvl w:val="0"/>
          <w:numId w:val="1"/>
        </w:numPr>
        <w:tabs>
          <w:tab w:val="num" w:pos="717"/>
        </w:tabs>
        <w:spacing w:after="240" w:line="360" w:lineRule="auto"/>
        <w:ind w:hanging="720"/>
        <w:jc w:val="both"/>
        <w:rPr>
          <w:rFonts w:ascii="Calibri" w:hAnsi="Calibri" w:cs="Calibri"/>
          <w:sz w:val="24"/>
          <w:szCs w:val="24"/>
        </w:rPr>
      </w:pPr>
      <w:r w:rsidRPr="006C6002">
        <w:rPr>
          <w:rFonts w:ascii="Calibri" w:hAnsi="Calibri" w:cs="Calibri"/>
          <w:sz w:val="24"/>
          <w:szCs w:val="24"/>
        </w:rPr>
        <w:t>Most of the substantive provisions of the European Convention on Human Rights are scheduled to the HRA and therefore directly enforceable in domestic law.</w:t>
      </w:r>
    </w:p>
    <w:p w14:paraId="196A0033" w14:textId="16421CD9" w:rsidR="005F0814" w:rsidRPr="006C6002" w:rsidRDefault="006B6975" w:rsidP="00257D51">
      <w:pPr>
        <w:numPr>
          <w:ilvl w:val="0"/>
          <w:numId w:val="1"/>
        </w:numPr>
        <w:tabs>
          <w:tab w:val="num" w:pos="717"/>
        </w:tabs>
        <w:spacing w:after="240" w:line="360" w:lineRule="auto"/>
        <w:ind w:hanging="720"/>
        <w:jc w:val="both"/>
        <w:rPr>
          <w:rFonts w:ascii="Calibri" w:hAnsi="Calibri" w:cs="Calibri"/>
          <w:sz w:val="24"/>
          <w:szCs w:val="24"/>
        </w:rPr>
      </w:pPr>
      <w:r w:rsidRPr="006C6002">
        <w:rPr>
          <w:rFonts w:ascii="Calibri" w:hAnsi="Calibri" w:cs="Calibri"/>
          <w:sz w:val="24"/>
          <w:szCs w:val="24"/>
        </w:rPr>
        <w:t>Section 6 HRA requires certain individuals and bodies to act in a way which is compatible with those Convention rights unless some primary legislation, or secondary legislation designed to give effect to it, positively prevents that public body from doing so. Failure to honour the section 6 duty will be a form of illegality.</w:t>
      </w:r>
    </w:p>
    <w:p w14:paraId="2FC5CA70" w14:textId="0443EABB" w:rsidR="005F0814" w:rsidRPr="006C6002" w:rsidRDefault="006B6975" w:rsidP="00257D51">
      <w:pPr>
        <w:numPr>
          <w:ilvl w:val="0"/>
          <w:numId w:val="1"/>
        </w:numPr>
        <w:tabs>
          <w:tab w:val="num" w:pos="717"/>
        </w:tabs>
        <w:spacing w:after="240" w:line="360" w:lineRule="auto"/>
        <w:ind w:hanging="720"/>
        <w:jc w:val="both"/>
        <w:rPr>
          <w:rFonts w:ascii="Calibri" w:hAnsi="Calibri" w:cs="Calibri"/>
          <w:sz w:val="24"/>
          <w:szCs w:val="24"/>
        </w:rPr>
      </w:pPr>
      <w:r w:rsidRPr="006C6002">
        <w:rPr>
          <w:rFonts w:ascii="Calibri" w:hAnsi="Calibri" w:cs="Calibri"/>
          <w:sz w:val="24"/>
          <w:szCs w:val="24"/>
        </w:rPr>
        <w:t xml:space="preserve">Section 3 provides that legislation must be interpreted ‘so far as possible’ in a way which complies with the Convention, so it will be a rare case where a public authority cannot act in conformity with the Convention. This rule applies to </w:t>
      </w:r>
      <w:proofErr w:type="spellStart"/>
      <w:r w:rsidRPr="006C6002">
        <w:rPr>
          <w:rFonts w:ascii="Calibri" w:hAnsi="Calibri" w:cs="Calibri"/>
          <w:sz w:val="24"/>
          <w:szCs w:val="24"/>
        </w:rPr>
        <w:t>past</w:t>
      </w:r>
      <w:proofErr w:type="spellEnd"/>
      <w:r w:rsidRPr="006C6002">
        <w:rPr>
          <w:rFonts w:ascii="Calibri" w:hAnsi="Calibri" w:cs="Calibri"/>
          <w:sz w:val="24"/>
          <w:szCs w:val="24"/>
        </w:rPr>
        <w:t xml:space="preserve"> legislation just as much as it does to future legislation and the doctrine of precedent becomes subordinated to it. It is clear from House of Lords’ decisions that a</w:t>
      </w:r>
      <w:r w:rsidR="005F0814" w:rsidRPr="006C6002">
        <w:rPr>
          <w:rFonts w:ascii="Calibri" w:hAnsi="Calibri" w:cs="Calibri"/>
          <w:sz w:val="24"/>
          <w:szCs w:val="24"/>
        </w:rPr>
        <w:t xml:space="preserve"> </w:t>
      </w:r>
      <w:r w:rsidRPr="006C6002">
        <w:rPr>
          <w:rFonts w:ascii="Calibri" w:hAnsi="Calibri" w:cs="Calibri"/>
          <w:sz w:val="24"/>
          <w:szCs w:val="24"/>
        </w:rPr>
        <w:t xml:space="preserve">declaration of incompatibility </w:t>
      </w:r>
      <w:r w:rsidR="00CC6174" w:rsidRPr="006C6002">
        <w:rPr>
          <w:rFonts w:ascii="Calibri" w:hAnsi="Calibri" w:cs="Calibri"/>
          <w:sz w:val="24"/>
          <w:szCs w:val="24"/>
        </w:rPr>
        <w:t xml:space="preserve">under section 4 </w:t>
      </w:r>
      <w:r w:rsidRPr="006C6002">
        <w:rPr>
          <w:rFonts w:ascii="Calibri" w:hAnsi="Calibri" w:cs="Calibri"/>
          <w:sz w:val="24"/>
          <w:szCs w:val="24"/>
        </w:rPr>
        <w:t>will be used only as a remedy of last resort and must be avoided unless it is plainly impossible to do so. Accordingly, section 3 has a strong interpretative effect and “</w:t>
      </w:r>
      <w:r w:rsidRPr="006C6002">
        <w:rPr>
          <w:rFonts w:ascii="Calibri" w:hAnsi="Calibri" w:cs="Calibri"/>
          <w:i/>
          <w:iCs/>
          <w:sz w:val="24"/>
          <w:szCs w:val="24"/>
        </w:rPr>
        <w:t>places a duty on the court to strive to find a possible interpretation compatible with convention rights</w:t>
      </w:r>
      <w:r w:rsidRPr="006C6002">
        <w:rPr>
          <w:rFonts w:ascii="Calibri" w:hAnsi="Calibri" w:cs="Calibri"/>
          <w:sz w:val="24"/>
          <w:szCs w:val="24"/>
        </w:rPr>
        <w:t xml:space="preserve">”. Where a public body interprets legislation governing its powers in a non-Convention compatible way, in breach of the general duty under section 3 HRA, this can be conceptualised as a form of </w:t>
      </w:r>
      <w:proofErr w:type="gramStart"/>
      <w:r w:rsidRPr="006C6002">
        <w:rPr>
          <w:rFonts w:ascii="Calibri" w:hAnsi="Calibri" w:cs="Calibri"/>
          <w:sz w:val="24"/>
          <w:szCs w:val="24"/>
        </w:rPr>
        <w:t>illegality, and</w:t>
      </w:r>
      <w:proofErr w:type="gramEnd"/>
      <w:r w:rsidRPr="006C6002">
        <w:rPr>
          <w:rFonts w:ascii="Calibri" w:hAnsi="Calibri" w:cs="Calibri"/>
          <w:sz w:val="24"/>
          <w:szCs w:val="24"/>
        </w:rPr>
        <w:t xml:space="preserve"> can constitute a discrete head of judicial review.</w:t>
      </w:r>
    </w:p>
    <w:p w14:paraId="105B477D" w14:textId="13AEB0EA" w:rsidR="006B6975" w:rsidRPr="006C6002" w:rsidRDefault="006B6975" w:rsidP="00257D51">
      <w:pPr>
        <w:numPr>
          <w:ilvl w:val="0"/>
          <w:numId w:val="1"/>
        </w:numPr>
        <w:tabs>
          <w:tab w:val="num" w:pos="717"/>
        </w:tabs>
        <w:spacing w:after="240" w:line="360" w:lineRule="auto"/>
        <w:ind w:hanging="720"/>
        <w:jc w:val="both"/>
        <w:rPr>
          <w:rFonts w:ascii="Calibri" w:hAnsi="Calibri" w:cs="Calibri"/>
          <w:sz w:val="24"/>
          <w:szCs w:val="24"/>
        </w:rPr>
      </w:pPr>
      <w:r w:rsidRPr="006C6002">
        <w:rPr>
          <w:rFonts w:ascii="Calibri" w:hAnsi="Calibri" w:cs="Calibri"/>
          <w:sz w:val="24"/>
          <w:szCs w:val="24"/>
        </w:rPr>
        <w:t>Decision makers subject to judicial review must not:</w:t>
      </w:r>
    </w:p>
    <w:p w14:paraId="7B7F9459" w14:textId="5A7373F3" w:rsidR="006B6975" w:rsidRPr="006C6002" w:rsidRDefault="006B6975" w:rsidP="00E86371">
      <w:pPr>
        <w:pStyle w:val="ListParagraph"/>
        <w:numPr>
          <w:ilvl w:val="0"/>
          <w:numId w:val="5"/>
        </w:numPr>
        <w:spacing w:line="360" w:lineRule="auto"/>
        <w:contextualSpacing w:val="0"/>
        <w:jc w:val="both"/>
        <w:rPr>
          <w:rFonts w:ascii="Calibri" w:hAnsi="Calibri" w:cs="Calibri"/>
          <w:sz w:val="24"/>
          <w:szCs w:val="24"/>
        </w:rPr>
      </w:pPr>
      <w:r w:rsidRPr="006C6002">
        <w:rPr>
          <w:rFonts w:ascii="Calibri" w:hAnsi="Calibri" w:cs="Calibri"/>
          <w:sz w:val="24"/>
          <w:szCs w:val="24"/>
        </w:rPr>
        <w:t xml:space="preserve">breach a duty to reach a decision by way of an express </w:t>
      </w:r>
      <w:proofErr w:type="gramStart"/>
      <w:r w:rsidRPr="006C6002">
        <w:rPr>
          <w:rFonts w:ascii="Calibri" w:hAnsi="Calibri" w:cs="Calibri"/>
          <w:sz w:val="24"/>
          <w:szCs w:val="24"/>
        </w:rPr>
        <w:t>procedure;</w:t>
      </w:r>
      <w:proofErr w:type="gramEnd"/>
    </w:p>
    <w:p w14:paraId="686B16A3" w14:textId="3A4838FC" w:rsidR="006B6975" w:rsidRPr="006C6002" w:rsidRDefault="006B6975" w:rsidP="00E86371">
      <w:pPr>
        <w:pStyle w:val="ListParagraph"/>
        <w:numPr>
          <w:ilvl w:val="0"/>
          <w:numId w:val="5"/>
        </w:numPr>
        <w:spacing w:line="360" w:lineRule="auto"/>
        <w:contextualSpacing w:val="0"/>
        <w:jc w:val="both"/>
        <w:rPr>
          <w:rFonts w:ascii="Calibri" w:hAnsi="Calibri" w:cs="Calibri"/>
          <w:sz w:val="24"/>
          <w:szCs w:val="24"/>
        </w:rPr>
      </w:pPr>
      <w:r w:rsidRPr="006C6002">
        <w:rPr>
          <w:rFonts w:ascii="Calibri" w:hAnsi="Calibri" w:cs="Calibri"/>
          <w:sz w:val="24"/>
          <w:szCs w:val="24"/>
        </w:rPr>
        <w:t xml:space="preserve">take a decision themselves in which they have a direct interest, or when there is actual, or a real danger of, </w:t>
      </w:r>
      <w:proofErr w:type="gramStart"/>
      <w:r w:rsidRPr="006C6002">
        <w:rPr>
          <w:rFonts w:ascii="Calibri" w:hAnsi="Calibri" w:cs="Calibri"/>
          <w:sz w:val="24"/>
          <w:szCs w:val="24"/>
        </w:rPr>
        <w:t>bias;</w:t>
      </w:r>
      <w:proofErr w:type="gramEnd"/>
    </w:p>
    <w:p w14:paraId="6F50523D" w14:textId="62AD07EB" w:rsidR="006B6975" w:rsidRPr="006C6002" w:rsidRDefault="006B6975" w:rsidP="00E86371">
      <w:pPr>
        <w:pStyle w:val="ListParagraph"/>
        <w:numPr>
          <w:ilvl w:val="0"/>
          <w:numId w:val="5"/>
        </w:numPr>
        <w:spacing w:line="360" w:lineRule="auto"/>
        <w:contextualSpacing w:val="0"/>
        <w:jc w:val="both"/>
        <w:rPr>
          <w:rFonts w:ascii="Calibri" w:hAnsi="Calibri" w:cs="Calibri"/>
          <w:sz w:val="24"/>
          <w:szCs w:val="24"/>
        </w:rPr>
      </w:pPr>
      <w:r w:rsidRPr="006C6002">
        <w:rPr>
          <w:rFonts w:ascii="Calibri" w:hAnsi="Calibri" w:cs="Calibri"/>
          <w:sz w:val="24"/>
          <w:szCs w:val="24"/>
        </w:rPr>
        <w:t>breach natural justice requirements of fairness; or</w:t>
      </w:r>
    </w:p>
    <w:p w14:paraId="6E1F3421" w14:textId="7F20DE0D" w:rsidR="00CC6174" w:rsidRPr="006C6002" w:rsidRDefault="006B6975" w:rsidP="00E86371">
      <w:pPr>
        <w:pStyle w:val="ListParagraph"/>
        <w:numPr>
          <w:ilvl w:val="0"/>
          <w:numId w:val="5"/>
        </w:numPr>
        <w:spacing w:line="360" w:lineRule="auto"/>
        <w:contextualSpacing w:val="0"/>
        <w:jc w:val="both"/>
        <w:rPr>
          <w:rFonts w:ascii="Calibri" w:hAnsi="Calibri" w:cs="Calibri"/>
          <w:sz w:val="24"/>
          <w:szCs w:val="24"/>
        </w:rPr>
      </w:pPr>
      <w:r w:rsidRPr="006C6002">
        <w:rPr>
          <w:rFonts w:ascii="Calibri" w:hAnsi="Calibri" w:cs="Calibri"/>
          <w:sz w:val="24"/>
          <w:szCs w:val="24"/>
        </w:rPr>
        <w:t>act in a manner so unfair that it amounts to an abuse of power</w:t>
      </w:r>
    </w:p>
    <w:p w14:paraId="71E9B3E4" w14:textId="220D65AA" w:rsidR="006B6975" w:rsidRPr="006C6002" w:rsidRDefault="006B6975" w:rsidP="00257D51">
      <w:pPr>
        <w:numPr>
          <w:ilvl w:val="0"/>
          <w:numId w:val="1"/>
        </w:numPr>
        <w:tabs>
          <w:tab w:val="num" w:pos="717"/>
        </w:tabs>
        <w:spacing w:after="240" w:line="360" w:lineRule="auto"/>
        <w:ind w:hanging="720"/>
        <w:jc w:val="both"/>
        <w:rPr>
          <w:rFonts w:ascii="Calibri" w:hAnsi="Calibri" w:cs="Calibri"/>
          <w:sz w:val="24"/>
          <w:szCs w:val="24"/>
        </w:rPr>
      </w:pPr>
      <w:r w:rsidRPr="006C6002">
        <w:rPr>
          <w:rFonts w:ascii="Calibri" w:hAnsi="Calibri" w:cs="Calibri"/>
          <w:sz w:val="24"/>
          <w:szCs w:val="24"/>
        </w:rPr>
        <w:t>Sometimes (though much depends on context) fairness will also require decision makers to give reasons.</w:t>
      </w:r>
    </w:p>
    <w:p w14:paraId="47B224B0" w14:textId="77777777" w:rsidR="00ED236D" w:rsidRPr="006C6002" w:rsidRDefault="006B6975" w:rsidP="00257D51">
      <w:pPr>
        <w:spacing w:line="360" w:lineRule="auto"/>
        <w:ind w:left="360" w:firstLine="360"/>
        <w:rPr>
          <w:rFonts w:ascii="Calibri" w:hAnsi="Calibri" w:cs="Calibri"/>
          <w:b/>
          <w:bCs/>
          <w:sz w:val="24"/>
          <w:szCs w:val="24"/>
          <w:u w:val="single"/>
        </w:rPr>
      </w:pPr>
      <w:r w:rsidRPr="006C6002">
        <w:rPr>
          <w:rFonts w:ascii="Calibri" w:hAnsi="Calibri" w:cs="Calibri"/>
          <w:b/>
          <w:bCs/>
          <w:sz w:val="24"/>
          <w:szCs w:val="24"/>
          <w:u w:val="single"/>
        </w:rPr>
        <w:lastRenderedPageBreak/>
        <w:t>Procedural unfairness</w:t>
      </w:r>
    </w:p>
    <w:p w14:paraId="62632ED6" w14:textId="06490C9E" w:rsidR="00ED236D" w:rsidRPr="006C6002" w:rsidRDefault="00ED236D" w:rsidP="00257D51">
      <w:pPr>
        <w:spacing w:line="360" w:lineRule="auto"/>
        <w:ind w:left="360" w:firstLine="360"/>
        <w:rPr>
          <w:rFonts w:ascii="Calibri" w:hAnsi="Calibri" w:cs="Calibri"/>
          <w:b/>
          <w:bCs/>
          <w:i/>
          <w:iCs/>
          <w:sz w:val="24"/>
          <w:szCs w:val="24"/>
        </w:rPr>
      </w:pPr>
      <w:r w:rsidRPr="006C6002">
        <w:rPr>
          <w:rFonts w:ascii="Calibri" w:hAnsi="Calibri" w:cs="Calibri"/>
          <w:i/>
          <w:iCs/>
          <w:sz w:val="24"/>
          <w:szCs w:val="24"/>
        </w:rPr>
        <w:t>Statutory procedure</w:t>
      </w:r>
    </w:p>
    <w:p w14:paraId="273BFDAD" w14:textId="5AF41F57" w:rsidR="009810AA" w:rsidRPr="006C6002" w:rsidRDefault="009810AA" w:rsidP="00257D51">
      <w:pPr>
        <w:numPr>
          <w:ilvl w:val="0"/>
          <w:numId w:val="1"/>
        </w:numPr>
        <w:tabs>
          <w:tab w:val="num" w:pos="717"/>
        </w:tabs>
        <w:spacing w:after="240" w:line="360" w:lineRule="auto"/>
        <w:ind w:hanging="720"/>
        <w:jc w:val="both"/>
        <w:rPr>
          <w:rFonts w:ascii="Calibri" w:hAnsi="Calibri" w:cs="Calibri"/>
          <w:sz w:val="24"/>
          <w:szCs w:val="24"/>
        </w:rPr>
      </w:pPr>
      <w:r w:rsidRPr="006C6002">
        <w:rPr>
          <w:rFonts w:ascii="Calibri" w:hAnsi="Calibri" w:cs="Calibri"/>
          <w:sz w:val="24"/>
          <w:szCs w:val="24"/>
        </w:rPr>
        <w:t xml:space="preserve">If the procedures are laid down in </w:t>
      </w:r>
      <w:proofErr w:type="gramStart"/>
      <w:r w:rsidRPr="006C6002">
        <w:rPr>
          <w:rFonts w:ascii="Calibri" w:hAnsi="Calibri" w:cs="Calibri"/>
          <w:sz w:val="24"/>
          <w:szCs w:val="24"/>
        </w:rPr>
        <w:t>legislation</w:t>
      </w:r>
      <w:proofErr w:type="gramEnd"/>
      <w:r w:rsidRPr="006C6002">
        <w:rPr>
          <w:rFonts w:ascii="Calibri" w:hAnsi="Calibri" w:cs="Calibri"/>
          <w:sz w:val="24"/>
          <w:szCs w:val="24"/>
        </w:rPr>
        <w:t xml:space="preserve"> then failure to follow will give rise to grounds for judicial review.</w:t>
      </w:r>
    </w:p>
    <w:p w14:paraId="66370BF0" w14:textId="77777777" w:rsidR="009810AA" w:rsidRPr="006C6002" w:rsidRDefault="009810AA" w:rsidP="00257D51">
      <w:pPr>
        <w:spacing w:line="360" w:lineRule="auto"/>
        <w:ind w:left="360" w:firstLine="360"/>
        <w:jc w:val="both"/>
        <w:rPr>
          <w:rFonts w:ascii="Calibri" w:hAnsi="Calibri" w:cs="Calibri"/>
          <w:sz w:val="24"/>
          <w:szCs w:val="24"/>
          <w:u w:val="single"/>
        </w:rPr>
      </w:pPr>
      <w:r w:rsidRPr="006C6002">
        <w:rPr>
          <w:rFonts w:ascii="Calibri" w:hAnsi="Calibri" w:cs="Calibri"/>
          <w:i/>
          <w:iCs/>
          <w:sz w:val="24"/>
          <w:szCs w:val="24"/>
        </w:rPr>
        <w:t>Bias</w:t>
      </w:r>
      <w:r w:rsidRPr="006C6002">
        <w:rPr>
          <w:rFonts w:ascii="Calibri" w:hAnsi="Calibri" w:cs="Calibri"/>
          <w:sz w:val="24"/>
          <w:szCs w:val="24"/>
          <w:u w:val="single"/>
        </w:rPr>
        <w:t xml:space="preserve"> </w:t>
      </w:r>
    </w:p>
    <w:p w14:paraId="68D1DD83" w14:textId="77777777" w:rsidR="009810AA" w:rsidRPr="006C6002" w:rsidRDefault="009810AA" w:rsidP="00257D51">
      <w:pPr>
        <w:numPr>
          <w:ilvl w:val="0"/>
          <w:numId w:val="1"/>
        </w:numPr>
        <w:tabs>
          <w:tab w:val="num" w:pos="717"/>
        </w:tabs>
        <w:spacing w:after="240" w:line="360" w:lineRule="auto"/>
        <w:ind w:hanging="720"/>
        <w:jc w:val="both"/>
        <w:rPr>
          <w:rFonts w:ascii="Calibri" w:hAnsi="Calibri" w:cs="Calibri"/>
          <w:sz w:val="24"/>
          <w:szCs w:val="24"/>
        </w:rPr>
      </w:pPr>
      <w:r w:rsidRPr="006C6002">
        <w:rPr>
          <w:rFonts w:ascii="Calibri" w:hAnsi="Calibri" w:cs="Calibri"/>
          <w:sz w:val="24"/>
          <w:szCs w:val="24"/>
        </w:rPr>
        <w:t xml:space="preserve">The ‘rule against </w:t>
      </w:r>
      <w:proofErr w:type="spellStart"/>
      <w:r w:rsidRPr="006C6002">
        <w:rPr>
          <w:rFonts w:ascii="Calibri" w:hAnsi="Calibri" w:cs="Calibri"/>
          <w:sz w:val="24"/>
          <w:szCs w:val="24"/>
        </w:rPr>
        <w:t>bias’</w:t>
      </w:r>
      <w:proofErr w:type="spellEnd"/>
      <w:r w:rsidRPr="006C6002">
        <w:rPr>
          <w:rFonts w:ascii="Calibri" w:hAnsi="Calibri" w:cs="Calibri"/>
          <w:sz w:val="24"/>
          <w:szCs w:val="24"/>
        </w:rPr>
        <w:t xml:space="preserve"> requires public bodies to be impartial and to be seen to be so. For example, a public body should not allow decisions to be made by people who have a financial interest in the decision, or a family or business connection with any of the parties, or who have strongly held views which may cause them to reach a decision based on prejudice.</w:t>
      </w:r>
    </w:p>
    <w:p w14:paraId="562BD6EF" w14:textId="77777777" w:rsidR="009810AA" w:rsidRPr="006C6002" w:rsidRDefault="009810AA" w:rsidP="00257D51">
      <w:pPr>
        <w:spacing w:line="360" w:lineRule="auto"/>
        <w:ind w:left="360" w:firstLine="360"/>
        <w:jc w:val="both"/>
        <w:rPr>
          <w:rFonts w:ascii="Calibri" w:hAnsi="Calibri" w:cs="Calibri"/>
          <w:i/>
          <w:iCs/>
          <w:sz w:val="24"/>
          <w:szCs w:val="24"/>
        </w:rPr>
      </w:pPr>
      <w:r w:rsidRPr="006C6002">
        <w:rPr>
          <w:rFonts w:ascii="Calibri" w:hAnsi="Calibri" w:cs="Calibri"/>
          <w:i/>
          <w:iCs/>
          <w:sz w:val="24"/>
          <w:szCs w:val="24"/>
        </w:rPr>
        <w:t>The right to a fair hearing</w:t>
      </w:r>
    </w:p>
    <w:p w14:paraId="6A847CDC" w14:textId="4A7B714B" w:rsidR="00CC6174" w:rsidRPr="006C6002" w:rsidRDefault="009810AA" w:rsidP="00257D51">
      <w:pPr>
        <w:numPr>
          <w:ilvl w:val="0"/>
          <w:numId w:val="1"/>
        </w:numPr>
        <w:tabs>
          <w:tab w:val="num" w:pos="717"/>
        </w:tabs>
        <w:spacing w:after="240" w:line="360" w:lineRule="auto"/>
        <w:ind w:hanging="720"/>
        <w:jc w:val="both"/>
        <w:rPr>
          <w:rFonts w:ascii="Calibri" w:hAnsi="Calibri" w:cs="Calibri"/>
          <w:sz w:val="24"/>
          <w:szCs w:val="24"/>
        </w:rPr>
      </w:pPr>
      <w:r w:rsidRPr="006C6002">
        <w:rPr>
          <w:rFonts w:ascii="Calibri" w:hAnsi="Calibri" w:cs="Calibri"/>
          <w:sz w:val="24"/>
          <w:szCs w:val="24"/>
        </w:rPr>
        <w:t xml:space="preserve">Those affected by a decision from a public body are entitled to know what the case is against </w:t>
      </w:r>
      <w:proofErr w:type="gramStart"/>
      <w:r w:rsidRPr="006C6002">
        <w:rPr>
          <w:rFonts w:ascii="Calibri" w:hAnsi="Calibri" w:cs="Calibri"/>
          <w:sz w:val="24"/>
          <w:szCs w:val="24"/>
        </w:rPr>
        <w:t>them, and</w:t>
      </w:r>
      <w:proofErr w:type="gramEnd"/>
      <w:r w:rsidRPr="006C6002">
        <w:rPr>
          <w:rFonts w:ascii="Calibri" w:hAnsi="Calibri" w:cs="Calibri"/>
          <w:sz w:val="24"/>
          <w:szCs w:val="24"/>
        </w:rPr>
        <w:t xml:space="preserve"> must have the opportunity to put their case properly. They may not be entitled to an actual ‘hearing’, although in serious matters, where someone's livelihood or liberty is at stake, the public body would normally be expected to have a detailed procedure, probably including an oral hearing and the calling of witnesses, and, in some circumstances, the right to representation.</w:t>
      </w:r>
    </w:p>
    <w:p w14:paraId="2D1D0337" w14:textId="4FA2554B" w:rsidR="00CC6174" w:rsidRPr="006C6002" w:rsidRDefault="009810AA" w:rsidP="00257D51">
      <w:pPr>
        <w:numPr>
          <w:ilvl w:val="0"/>
          <w:numId w:val="1"/>
        </w:numPr>
        <w:tabs>
          <w:tab w:val="num" w:pos="717"/>
        </w:tabs>
        <w:spacing w:after="240" w:line="360" w:lineRule="auto"/>
        <w:ind w:hanging="720"/>
        <w:jc w:val="both"/>
        <w:rPr>
          <w:rFonts w:ascii="Calibri" w:hAnsi="Calibri" w:cs="Calibri"/>
          <w:sz w:val="24"/>
          <w:szCs w:val="24"/>
        </w:rPr>
      </w:pPr>
      <w:r w:rsidRPr="006C6002">
        <w:rPr>
          <w:rFonts w:ascii="Calibri" w:hAnsi="Calibri" w:cs="Calibri"/>
          <w:sz w:val="24"/>
          <w:szCs w:val="24"/>
        </w:rPr>
        <w:t>In more minor matters, issues such as the cost involved in holding a hearing will be weighed against the individual's right to argue his or her case in person, but there should still be provision for written representations.</w:t>
      </w:r>
    </w:p>
    <w:p w14:paraId="26813570" w14:textId="3906FE70" w:rsidR="00CC6174" w:rsidRPr="006C6002" w:rsidRDefault="009810AA" w:rsidP="00257D51">
      <w:pPr>
        <w:numPr>
          <w:ilvl w:val="0"/>
          <w:numId w:val="1"/>
        </w:numPr>
        <w:tabs>
          <w:tab w:val="num" w:pos="717"/>
        </w:tabs>
        <w:spacing w:after="240" w:line="360" w:lineRule="auto"/>
        <w:ind w:hanging="720"/>
        <w:jc w:val="both"/>
        <w:rPr>
          <w:rFonts w:ascii="Calibri" w:hAnsi="Calibri" w:cs="Calibri"/>
          <w:sz w:val="24"/>
          <w:szCs w:val="24"/>
        </w:rPr>
      </w:pPr>
      <w:r w:rsidRPr="006C6002">
        <w:rPr>
          <w:rFonts w:ascii="Calibri" w:hAnsi="Calibri" w:cs="Calibri"/>
          <w:sz w:val="24"/>
          <w:szCs w:val="24"/>
        </w:rPr>
        <w:t xml:space="preserve">Note that actual injustice need not be proved: </w:t>
      </w:r>
      <w:r w:rsidRPr="006C6002">
        <w:rPr>
          <w:rFonts w:ascii="Calibri" w:hAnsi="Calibri" w:cs="Calibri"/>
          <w:i/>
          <w:iCs/>
          <w:sz w:val="24"/>
          <w:szCs w:val="24"/>
        </w:rPr>
        <w:t>see Boddington v British Transport Police</w:t>
      </w:r>
      <w:r w:rsidRPr="006C6002">
        <w:rPr>
          <w:rFonts w:ascii="Calibri" w:hAnsi="Calibri" w:cs="Calibri"/>
          <w:sz w:val="24"/>
          <w:szCs w:val="24"/>
        </w:rPr>
        <w:t xml:space="preserve"> [1999] 2 AC 143. </w:t>
      </w:r>
    </w:p>
    <w:p w14:paraId="1BE3BCE2" w14:textId="0354C7D6" w:rsidR="009810AA" w:rsidRPr="006C6002" w:rsidRDefault="009810AA" w:rsidP="00257D51">
      <w:pPr>
        <w:numPr>
          <w:ilvl w:val="0"/>
          <w:numId w:val="1"/>
        </w:numPr>
        <w:tabs>
          <w:tab w:val="num" w:pos="717"/>
        </w:tabs>
        <w:spacing w:after="240" w:line="360" w:lineRule="auto"/>
        <w:ind w:hanging="720"/>
        <w:jc w:val="both"/>
        <w:rPr>
          <w:rFonts w:ascii="Calibri" w:hAnsi="Calibri" w:cs="Calibri"/>
          <w:sz w:val="24"/>
          <w:szCs w:val="24"/>
        </w:rPr>
      </w:pPr>
      <w:r w:rsidRPr="006C6002">
        <w:rPr>
          <w:rFonts w:ascii="Calibri" w:hAnsi="Calibri" w:cs="Calibri"/>
          <w:sz w:val="24"/>
          <w:szCs w:val="24"/>
        </w:rPr>
        <w:t>Factors that could lead to a finding that there has been a breach of natural justice and</w:t>
      </w:r>
      <w:r w:rsidR="00ED236D" w:rsidRPr="006C6002">
        <w:rPr>
          <w:rFonts w:ascii="Calibri" w:hAnsi="Calibri" w:cs="Calibri"/>
          <w:sz w:val="24"/>
          <w:szCs w:val="24"/>
        </w:rPr>
        <w:t xml:space="preserve"> </w:t>
      </w:r>
      <w:r w:rsidRPr="006C6002">
        <w:rPr>
          <w:rFonts w:ascii="Calibri" w:hAnsi="Calibri" w:cs="Calibri"/>
          <w:sz w:val="24"/>
          <w:szCs w:val="24"/>
        </w:rPr>
        <w:t>the duty to act fairly include situations where the decision-maker:</w:t>
      </w:r>
    </w:p>
    <w:p w14:paraId="0AD1E838" w14:textId="77777777" w:rsidR="009810AA" w:rsidRPr="006C6002" w:rsidRDefault="009810AA" w:rsidP="00E86371">
      <w:pPr>
        <w:pStyle w:val="ListParagraph"/>
        <w:numPr>
          <w:ilvl w:val="0"/>
          <w:numId w:val="5"/>
        </w:numPr>
        <w:spacing w:line="360" w:lineRule="auto"/>
        <w:contextualSpacing w:val="0"/>
        <w:jc w:val="both"/>
        <w:rPr>
          <w:rFonts w:ascii="Calibri" w:hAnsi="Calibri" w:cs="Calibri"/>
          <w:sz w:val="24"/>
          <w:szCs w:val="24"/>
        </w:rPr>
      </w:pPr>
      <w:r w:rsidRPr="006C6002">
        <w:rPr>
          <w:rFonts w:ascii="Calibri" w:hAnsi="Calibri" w:cs="Calibri"/>
          <w:sz w:val="24"/>
          <w:szCs w:val="24"/>
        </w:rPr>
        <w:t xml:space="preserve">failed to tell the individual what </w:t>
      </w:r>
      <w:proofErr w:type="gramStart"/>
      <w:r w:rsidRPr="006C6002">
        <w:rPr>
          <w:rFonts w:ascii="Calibri" w:hAnsi="Calibri" w:cs="Calibri"/>
          <w:sz w:val="24"/>
          <w:szCs w:val="24"/>
        </w:rPr>
        <w:t>was the case against him or her</w:t>
      </w:r>
      <w:proofErr w:type="gramEnd"/>
      <w:r w:rsidRPr="006C6002">
        <w:rPr>
          <w:rFonts w:ascii="Calibri" w:hAnsi="Calibri" w:cs="Calibri"/>
          <w:sz w:val="24"/>
          <w:szCs w:val="24"/>
        </w:rPr>
        <w:t xml:space="preserve"> or took account of evidence or factors of which he or she was not made </w:t>
      </w:r>
      <w:proofErr w:type="gramStart"/>
      <w:r w:rsidRPr="006C6002">
        <w:rPr>
          <w:rFonts w:ascii="Calibri" w:hAnsi="Calibri" w:cs="Calibri"/>
          <w:sz w:val="24"/>
          <w:szCs w:val="24"/>
        </w:rPr>
        <w:t>aware;</w:t>
      </w:r>
      <w:proofErr w:type="gramEnd"/>
    </w:p>
    <w:p w14:paraId="31C67613" w14:textId="77777777" w:rsidR="009810AA" w:rsidRPr="006C6002" w:rsidRDefault="009810AA" w:rsidP="00E86371">
      <w:pPr>
        <w:pStyle w:val="ListParagraph"/>
        <w:numPr>
          <w:ilvl w:val="0"/>
          <w:numId w:val="5"/>
        </w:numPr>
        <w:spacing w:line="360" w:lineRule="auto"/>
        <w:contextualSpacing w:val="0"/>
        <w:jc w:val="both"/>
        <w:rPr>
          <w:rFonts w:ascii="Calibri" w:hAnsi="Calibri" w:cs="Calibri"/>
          <w:sz w:val="24"/>
          <w:szCs w:val="24"/>
        </w:rPr>
      </w:pPr>
      <w:r w:rsidRPr="006C6002">
        <w:rPr>
          <w:rFonts w:ascii="Calibri" w:hAnsi="Calibri" w:cs="Calibri"/>
          <w:sz w:val="24"/>
          <w:szCs w:val="24"/>
        </w:rPr>
        <w:lastRenderedPageBreak/>
        <w:t xml:space="preserve">failed to allow the applicant to put his or her case forward at all or failed to give him/her adequate facilities for making the </w:t>
      </w:r>
      <w:proofErr w:type="gramStart"/>
      <w:r w:rsidRPr="006C6002">
        <w:rPr>
          <w:rFonts w:ascii="Calibri" w:hAnsi="Calibri" w:cs="Calibri"/>
          <w:sz w:val="24"/>
          <w:szCs w:val="24"/>
        </w:rPr>
        <w:t>case;</w:t>
      </w:r>
      <w:proofErr w:type="gramEnd"/>
    </w:p>
    <w:p w14:paraId="25AC868E" w14:textId="77777777" w:rsidR="009810AA" w:rsidRPr="006C6002" w:rsidRDefault="009810AA" w:rsidP="00E86371">
      <w:pPr>
        <w:pStyle w:val="ListParagraph"/>
        <w:numPr>
          <w:ilvl w:val="0"/>
          <w:numId w:val="5"/>
        </w:numPr>
        <w:spacing w:line="360" w:lineRule="auto"/>
        <w:contextualSpacing w:val="0"/>
        <w:jc w:val="both"/>
        <w:rPr>
          <w:rFonts w:ascii="Calibri" w:hAnsi="Calibri" w:cs="Calibri"/>
          <w:sz w:val="24"/>
          <w:szCs w:val="24"/>
        </w:rPr>
      </w:pPr>
      <w:r w:rsidRPr="006C6002">
        <w:rPr>
          <w:rFonts w:ascii="Calibri" w:hAnsi="Calibri" w:cs="Calibri"/>
          <w:sz w:val="24"/>
          <w:szCs w:val="24"/>
        </w:rPr>
        <w:t xml:space="preserve">refused to hear some of the evidence available and that evidence might have led to a different </w:t>
      </w:r>
      <w:proofErr w:type="gramStart"/>
      <w:r w:rsidRPr="006C6002">
        <w:rPr>
          <w:rFonts w:ascii="Calibri" w:hAnsi="Calibri" w:cs="Calibri"/>
          <w:sz w:val="24"/>
          <w:szCs w:val="24"/>
        </w:rPr>
        <w:t>decision;</w:t>
      </w:r>
      <w:proofErr w:type="gramEnd"/>
    </w:p>
    <w:p w14:paraId="66B2AC48" w14:textId="77777777" w:rsidR="009810AA" w:rsidRPr="006C6002" w:rsidRDefault="009810AA" w:rsidP="00E86371">
      <w:pPr>
        <w:pStyle w:val="ListParagraph"/>
        <w:numPr>
          <w:ilvl w:val="0"/>
          <w:numId w:val="5"/>
        </w:numPr>
        <w:spacing w:line="360" w:lineRule="auto"/>
        <w:contextualSpacing w:val="0"/>
        <w:jc w:val="both"/>
        <w:rPr>
          <w:rFonts w:ascii="Calibri" w:hAnsi="Calibri" w:cs="Calibri"/>
          <w:sz w:val="24"/>
          <w:szCs w:val="24"/>
        </w:rPr>
      </w:pPr>
      <w:r w:rsidRPr="006C6002">
        <w:rPr>
          <w:rFonts w:ascii="Calibri" w:hAnsi="Calibri" w:cs="Calibri"/>
          <w:sz w:val="24"/>
          <w:szCs w:val="24"/>
        </w:rPr>
        <w:t xml:space="preserve">refused to allow legal representation, or to inform the individual of that option, in circumstances when such representation would make a </w:t>
      </w:r>
      <w:proofErr w:type="gramStart"/>
      <w:r w:rsidRPr="006C6002">
        <w:rPr>
          <w:rFonts w:ascii="Calibri" w:hAnsi="Calibri" w:cs="Calibri"/>
          <w:sz w:val="24"/>
          <w:szCs w:val="24"/>
        </w:rPr>
        <w:t>difference;</w:t>
      </w:r>
      <w:proofErr w:type="gramEnd"/>
    </w:p>
    <w:p w14:paraId="6F8836EC" w14:textId="77777777" w:rsidR="009810AA" w:rsidRPr="006C6002" w:rsidRDefault="009810AA" w:rsidP="00E86371">
      <w:pPr>
        <w:pStyle w:val="ListParagraph"/>
        <w:numPr>
          <w:ilvl w:val="0"/>
          <w:numId w:val="5"/>
        </w:numPr>
        <w:spacing w:line="360" w:lineRule="auto"/>
        <w:contextualSpacing w:val="0"/>
        <w:jc w:val="both"/>
        <w:rPr>
          <w:rFonts w:ascii="Calibri" w:hAnsi="Calibri" w:cs="Calibri"/>
          <w:sz w:val="24"/>
          <w:szCs w:val="24"/>
        </w:rPr>
      </w:pPr>
      <w:r w:rsidRPr="006C6002">
        <w:rPr>
          <w:rFonts w:ascii="Calibri" w:hAnsi="Calibri" w:cs="Calibri"/>
          <w:sz w:val="24"/>
          <w:szCs w:val="24"/>
        </w:rPr>
        <w:t>failed to notify the individual or his or her representative of the time and place of any hearing that would lead to the taking of a decision, or denied the individual access to relevant documents, or a hearing was held in their absence when they had a good reason for not being able to attend and the hearing could have been re-arranged;</w:t>
      </w:r>
    </w:p>
    <w:p w14:paraId="2139F1A1" w14:textId="1F98D350" w:rsidR="009810AA" w:rsidRPr="006C6002" w:rsidRDefault="009810AA" w:rsidP="00E86371">
      <w:pPr>
        <w:pStyle w:val="ListParagraph"/>
        <w:numPr>
          <w:ilvl w:val="0"/>
          <w:numId w:val="5"/>
        </w:numPr>
        <w:spacing w:line="360" w:lineRule="auto"/>
        <w:contextualSpacing w:val="0"/>
        <w:jc w:val="both"/>
        <w:rPr>
          <w:rFonts w:ascii="Calibri" w:hAnsi="Calibri" w:cs="Calibri"/>
          <w:sz w:val="24"/>
          <w:szCs w:val="24"/>
        </w:rPr>
      </w:pPr>
      <w:r w:rsidRPr="006C6002">
        <w:rPr>
          <w:rFonts w:ascii="Calibri" w:hAnsi="Calibri" w:cs="Calibri"/>
          <w:sz w:val="24"/>
          <w:szCs w:val="24"/>
        </w:rPr>
        <w:t>failed to consult those whom it was under a duty to consult, or those who had a legitimate expectation of being consulted before a decision is made. A person or a group may have a legitimate expectation that they will be consulted if they have a history of being consulted by the</w:t>
      </w:r>
      <w:r w:rsidR="00ED236D" w:rsidRPr="006C6002">
        <w:rPr>
          <w:rFonts w:ascii="Calibri" w:hAnsi="Calibri" w:cs="Calibri"/>
          <w:sz w:val="24"/>
          <w:szCs w:val="24"/>
        </w:rPr>
        <w:t xml:space="preserve"> </w:t>
      </w:r>
      <w:r w:rsidRPr="006C6002">
        <w:rPr>
          <w:rFonts w:ascii="Calibri" w:hAnsi="Calibri" w:cs="Calibri"/>
          <w:sz w:val="24"/>
          <w:szCs w:val="24"/>
        </w:rPr>
        <w:t>decision-maker or if the decision-maker has made promises or given undertakings which the decision in question will alter.</w:t>
      </w:r>
    </w:p>
    <w:p w14:paraId="46F775CB" w14:textId="77777777" w:rsidR="009810AA" w:rsidRPr="006C6002" w:rsidRDefault="009810AA" w:rsidP="00257D51">
      <w:pPr>
        <w:spacing w:line="360" w:lineRule="auto"/>
        <w:ind w:firstLine="720"/>
        <w:jc w:val="both"/>
        <w:rPr>
          <w:rFonts w:ascii="Calibri" w:hAnsi="Calibri" w:cs="Calibri"/>
          <w:i/>
          <w:iCs/>
          <w:sz w:val="24"/>
          <w:szCs w:val="24"/>
        </w:rPr>
      </w:pPr>
      <w:r w:rsidRPr="006C6002">
        <w:rPr>
          <w:rFonts w:ascii="Calibri" w:hAnsi="Calibri" w:cs="Calibri"/>
          <w:i/>
          <w:iCs/>
          <w:sz w:val="24"/>
          <w:szCs w:val="24"/>
        </w:rPr>
        <w:t>Legitimate expectation</w:t>
      </w:r>
    </w:p>
    <w:p w14:paraId="126F68BE" w14:textId="18B0C1D9" w:rsidR="00CC6174" w:rsidRPr="006C6002" w:rsidRDefault="009810AA" w:rsidP="00257D51">
      <w:pPr>
        <w:numPr>
          <w:ilvl w:val="0"/>
          <w:numId w:val="1"/>
        </w:numPr>
        <w:tabs>
          <w:tab w:val="num" w:pos="717"/>
        </w:tabs>
        <w:spacing w:after="240" w:line="360" w:lineRule="auto"/>
        <w:ind w:hanging="720"/>
        <w:jc w:val="both"/>
        <w:rPr>
          <w:rFonts w:ascii="Calibri" w:hAnsi="Calibri" w:cs="Calibri"/>
          <w:sz w:val="24"/>
          <w:szCs w:val="24"/>
        </w:rPr>
      </w:pPr>
      <w:r w:rsidRPr="006C6002">
        <w:rPr>
          <w:rFonts w:ascii="Calibri" w:hAnsi="Calibri" w:cs="Calibri"/>
          <w:sz w:val="24"/>
          <w:szCs w:val="24"/>
        </w:rPr>
        <w:t>The obligation to consult before a policy or course of action is changed is generally known as ‘</w:t>
      </w:r>
      <w:r w:rsidRPr="006C6002">
        <w:rPr>
          <w:rFonts w:ascii="Calibri" w:hAnsi="Calibri" w:cs="Calibri"/>
          <w:b/>
          <w:bCs/>
          <w:sz w:val="24"/>
          <w:szCs w:val="24"/>
        </w:rPr>
        <w:t>procedural legitimate expectation</w:t>
      </w:r>
      <w:r w:rsidRPr="006C6002">
        <w:rPr>
          <w:rFonts w:ascii="Calibri" w:hAnsi="Calibri" w:cs="Calibri"/>
          <w:sz w:val="24"/>
          <w:szCs w:val="24"/>
        </w:rPr>
        <w:t>’. The principle of ‘</w:t>
      </w:r>
      <w:r w:rsidRPr="006C6002">
        <w:rPr>
          <w:rFonts w:ascii="Calibri" w:hAnsi="Calibri" w:cs="Calibri"/>
          <w:b/>
          <w:bCs/>
          <w:sz w:val="24"/>
          <w:szCs w:val="24"/>
        </w:rPr>
        <w:t>substantive legitimate expectation</w:t>
      </w:r>
      <w:r w:rsidRPr="006C6002">
        <w:rPr>
          <w:rFonts w:ascii="Calibri" w:hAnsi="Calibri" w:cs="Calibri"/>
          <w:sz w:val="24"/>
          <w:szCs w:val="24"/>
        </w:rPr>
        <w:t xml:space="preserve">’, which prevents removal of a benefit which the individual enjoys, was firmly established in </w:t>
      </w:r>
      <w:r w:rsidRPr="006C6002">
        <w:rPr>
          <w:rFonts w:ascii="Calibri" w:hAnsi="Calibri" w:cs="Calibri"/>
          <w:i/>
          <w:iCs/>
          <w:sz w:val="24"/>
          <w:szCs w:val="24"/>
        </w:rPr>
        <w:t>R v North and East Devon Health Authority ex p Coughlan</w:t>
      </w:r>
      <w:r w:rsidR="00DC4C4C" w:rsidRPr="006C6002">
        <w:rPr>
          <w:rFonts w:ascii="Calibri" w:hAnsi="Calibri" w:cs="Calibri"/>
          <w:i/>
          <w:iCs/>
          <w:sz w:val="24"/>
          <w:szCs w:val="24"/>
        </w:rPr>
        <w:t xml:space="preserve"> </w:t>
      </w:r>
      <w:r w:rsidR="00AB170F" w:rsidRPr="006C6002">
        <w:rPr>
          <w:rFonts w:ascii="Calibri" w:hAnsi="Calibri" w:cs="Calibri"/>
          <w:sz w:val="24"/>
          <w:szCs w:val="24"/>
        </w:rPr>
        <w:t>[</w:t>
      </w:r>
      <w:r w:rsidRPr="006C6002">
        <w:rPr>
          <w:rFonts w:ascii="Calibri" w:hAnsi="Calibri" w:cs="Calibri"/>
          <w:sz w:val="24"/>
          <w:szCs w:val="24"/>
        </w:rPr>
        <w:t>1999</w:t>
      </w:r>
      <w:r w:rsidR="00AB170F" w:rsidRPr="006C6002">
        <w:rPr>
          <w:rFonts w:ascii="Calibri" w:hAnsi="Calibri" w:cs="Calibri"/>
          <w:sz w:val="24"/>
          <w:szCs w:val="24"/>
        </w:rPr>
        <w:t>]</w:t>
      </w:r>
      <w:r w:rsidRPr="006C6002">
        <w:rPr>
          <w:rFonts w:ascii="Calibri" w:hAnsi="Calibri" w:cs="Calibri"/>
          <w:sz w:val="24"/>
          <w:szCs w:val="24"/>
        </w:rPr>
        <w:t xml:space="preserve"> 2 CCLR 21, CA. There the Court of Appeal discussed what would happen when a public body described how it intended to act in future in the form of a promise or policy, which it then abandoned to the detriment of the individual: Miss Coughlan, the applicant for judicial review, had been promised a ‘home for life’ when she moved into the Health Authority’s long term care facility. The Court of Appeal held that the breach of this promise represented an unlawful </w:t>
      </w:r>
      <w:r w:rsidRPr="006C6002">
        <w:rPr>
          <w:rFonts w:ascii="Calibri" w:hAnsi="Calibri" w:cs="Calibri"/>
          <w:b/>
          <w:bCs/>
          <w:sz w:val="24"/>
          <w:szCs w:val="24"/>
        </w:rPr>
        <w:t>abuse of power</w:t>
      </w:r>
      <w:r w:rsidRPr="006C6002">
        <w:rPr>
          <w:rFonts w:ascii="Calibri" w:hAnsi="Calibri" w:cs="Calibri"/>
          <w:sz w:val="24"/>
          <w:szCs w:val="24"/>
        </w:rPr>
        <w:t>.</w:t>
      </w:r>
    </w:p>
    <w:p w14:paraId="1C66076A" w14:textId="4B518BDD" w:rsidR="009810AA" w:rsidRPr="006C6002" w:rsidRDefault="009810AA" w:rsidP="00257D51">
      <w:pPr>
        <w:numPr>
          <w:ilvl w:val="0"/>
          <w:numId w:val="1"/>
        </w:numPr>
        <w:tabs>
          <w:tab w:val="num" w:pos="717"/>
        </w:tabs>
        <w:spacing w:after="240" w:line="360" w:lineRule="auto"/>
        <w:ind w:hanging="720"/>
        <w:jc w:val="both"/>
        <w:rPr>
          <w:rFonts w:ascii="Calibri" w:hAnsi="Calibri" w:cs="Calibri"/>
          <w:sz w:val="24"/>
          <w:szCs w:val="24"/>
        </w:rPr>
      </w:pPr>
      <w:r w:rsidRPr="006C6002">
        <w:rPr>
          <w:rFonts w:ascii="Calibri" w:hAnsi="Calibri" w:cs="Calibri"/>
          <w:sz w:val="24"/>
          <w:szCs w:val="24"/>
        </w:rPr>
        <w:t xml:space="preserve">An example of an area of law where legitimate expectation may be relevant concerns the relationships between voluntary sector organisations and local authorities. Public </w:t>
      </w:r>
      <w:r w:rsidRPr="006C6002">
        <w:rPr>
          <w:rFonts w:ascii="Calibri" w:hAnsi="Calibri" w:cs="Calibri"/>
          <w:sz w:val="24"/>
          <w:szCs w:val="24"/>
        </w:rPr>
        <w:lastRenderedPageBreak/>
        <w:t>bodies are encouraged to enter into loose agreements called ‘Compacts’ with the voluntary sector agencies that they fund. These set out minimum standards as to consultation, termination etc. Although having no contractual force, they might be enforceable through public law.</w:t>
      </w:r>
    </w:p>
    <w:p w14:paraId="113730CC" w14:textId="77777777" w:rsidR="009810AA" w:rsidRPr="006C6002" w:rsidRDefault="009810AA" w:rsidP="00257D51">
      <w:pPr>
        <w:spacing w:line="360" w:lineRule="auto"/>
        <w:ind w:left="360" w:firstLine="360"/>
        <w:jc w:val="both"/>
        <w:rPr>
          <w:rFonts w:ascii="Calibri" w:hAnsi="Calibri" w:cs="Calibri"/>
          <w:i/>
          <w:iCs/>
          <w:sz w:val="24"/>
          <w:szCs w:val="24"/>
        </w:rPr>
      </w:pPr>
      <w:r w:rsidRPr="006C6002">
        <w:rPr>
          <w:rFonts w:ascii="Calibri" w:hAnsi="Calibri" w:cs="Calibri"/>
          <w:i/>
          <w:iCs/>
          <w:sz w:val="24"/>
          <w:szCs w:val="24"/>
        </w:rPr>
        <w:t xml:space="preserve">Reasons </w:t>
      </w:r>
    </w:p>
    <w:p w14:paraId="6C76449C" w14:textId="079C94E4" w:rsidR="00CC6174" w:rsidRPr="006C6002" w:rsidRDefault="009810AA" w:rsidP="00257D51">
      <w:pPr>
        <w:numPr>
          <w:ilvl w:val="0"/>
          <w:numId w:val="1"/>
        </w:numPr>
        <w:tabs>
          <w:tab w:val="num" w:pos="717"/>
        </w:tabs>
        <w:spacing w:after="240" w:line="360" w:lineRule="auto"/>
        <w:ind w:hanging="720"/>
        <w:jc w:val="both"/>
        <w:rPr>
          <w:rFonts w:ascii="Calibri" w:hAnsi="Calibri" w:cs="Calibri"/>
          <w:sz w:val="24"/>
          <w:szCs w:val="24"/>
        </w:rPr>
      </w:pPr>
      <w:r w:rsidRPr="006C6002">
        <w:rPr>
          <w:rFonts w:ascii="Calibri" w:hAnsi="Calibri" w:cs="Calibri"/>
          <w:sz w:val="24"/>
          <w:szCs w:val="24"/>
        </w:rPr>
        <w:t xml:space="preserve">Though certain statutory procedures oblige decision makers to explain their decisions (and failure to do so would amount to procedural ultra vires), there is no general duty to give reasons for decisions in English law (see </w:t>
      </w:r>
      <w:r w:rsidRPr="006C6002">
        <w:rPr>
          <w:rFonts w:ascii="Calibri" w:hAnsi="Calibri" w:cs="Calibri"/>
          <w:i/>
          <w:iCs/>
          <w:sz w:val="24"/>
          <w:szCs w:val="24"/>
        </w:rPr>
        <w:t>Stefan v General Medical Council</w:t>
      </w:r>
      <w:r w:rsidRPr="006C6002">
        <w:rPr>
          <w:rFonts w:ascii="Calibri" w:hAnsi="Calibri" w:cs="Calibri"/>
          <w:sz w:val="24"/>
          <w:szCs w:val="24"/>
        </w:rPr>
        <w:t xml:space="preserve"> [1999] 1 WLR 1293). That said, </w:t>
      </w:r>
      <w:proofErr w:type="gramStart"/>
      <w:r w:rsidRPr="006C6002">
        <w:rPr>
          <w:rFonts w:ascii="Calibri" w:hAnsi="Calibri" w:cs="Calibri"/>
          <w:sz w:val="24"/>
          <w:szCs w:val="24"/>
        </w:rPr>
        <w:t>a number of</w:t>
      </w:r>
      <w:proofErr w:type="gramEnd"/>
      <w:r w:rsidRPr="006C6002">
        <w:rPr>
          <w:rFonts w:ascii="Calibri" w:hAnsi="Calibri" w:cs="Calibri"/>
          <w:sz w:val="24"/>
          <w:szCs w:val="24"/>
        </w:rPr>
        <w:t xml:space="preserve"> recent decisions of the courts have held that fairness will demand in many cases that adequate reasons for a decision are given (the more important the decision for the individual, the fuller the reasons required are likely to be).</w:t>
      </w:r>
    </w:p>
    <w:p w14:paraId="7984C5A9" w14:textId="69B1FE50" w:rsidR="009810AA" w:rsidRPr="006C6002" w:rsidRDefault="009810AA" w:rsidP="00257D51">
      <w:pPr>
        <w:numPr>
          <w:ilvl w:val="0"/>
          <w:numId w:val="1"/>
        </w:numPr>
        <w:tabs>
          <w:tab w:val="num" w:pos="717"/>
        </w:tabs>
        <w:spacing w:after="240" w:line="360" w:lineRule="auto"/>
        <w:ind w:hanging="720"/>
        <w:jc w:val="both"/>
        <w:rPr>
          <w:rFonts w:ascii="Calibri" w:hAnsi="Calibri" w:cs="Calibri"/>
          <w:sz w:val="24"/>
          <w:szCs w:val="24"/>
        </w:rPr>
      </w:pPr>
      <w:proofErr w:type="gramStart"/>
      <w:r w:rsidRPr="006C6002">
        <w:rPr>
          <w:rFonts w:ascii="Calibri" w:hAnsi="Calibri" w:cs="Calibri"/>
          <w:sz w:val="24"/>
          <w:szCs w:val="24"/>
        </w:rPr>
        <w:t>Particular circumstances</w:t>
      </w:r>
      <w:proofErr w:type="gramEnd"/>
      <w:r w:rsidRPr="006C6002">
        <w:rPr>
          <w:rFonts w:ascii="Calibri" w:hAnsi="Calibri" w:cs="Calibri"/>
          <w:sz w:val="24"/>
          <w:szCs w:val="24"/>
        </w:rPr>
        <w:t xml:space="preserve"> in which reasons may be required are:</w:t>
      </w:r>
    </w:p>
    <w:p w14:paraId="759FDB4E" w14:textId="77777777" w:rsidR="009810AA" w:rsidRPr="006C6002" w:rsidRDefault="009810AA" w:rsidP="00E86371">
      <w:pPr>
        <w:pStyle w:val="ListParagraph"/>
        <w:numPr>
          <w:ilvl w:val="0"/>
          <w:numId w:val="5"/>
        </w:numPr>
        <w:spacing w:line="360" w:lineRule="auto"/>
        <w:contextualSpacing w:val="0"/>
        <w:jc w:val="both"/>
        <w:rPr>
          <w:rFonts w:ascii="Calibri" w:hAnsi="Calibri" w:cs="Calibri"/>
          <w:sz w:val="24"/>
          <w:szCs w:val="24"/>
        </w:rPr>
      </w:pPr>
      <w:r w:rsidRPr="006C6002">
        <w:rPr>
          <w:rFonts w:ascii="Calibri" w:hAnsi="Calibri" w:cs="Calibri"/>
          <w:sz w:val="24"/>
          <w:szCs w:val="24"/>
        </w:rPr>
        <w:t xml:space="preserve">where the decision maker is a </w:t>
      </w:r>
      <w:r w:rsidRPr="006C6002">
        <w:rPr>
          <w:rFonts w:ascii="Calibri" w:hAnsi="Calibri" w:cs="Calibri"/>
          <w:b/>
          <w:bCs/>
          <w:sz w:val="24"/>
          <w:szCs w:val="24"/>
        </w:rPr>
        <w:t>professional judge</w:t>
      </w:r>
      <w:r w:rsidRPr="006C6002">
        <w:rPr>
          <w:rFonts w:ascii="Calibri" w:hAnsi="Calibri" w:cs="Calibri"/>
          <w:sz w:val="24"/>
          <w:szCs w:val="24"/>
        </w:rPr>
        <w:t xml:space="preserve"> (though there are exceptions for certain courts, and in relation to summary exercises of judicial discretion</w:t>
      </w:r>
      <w:proofErr w:type="gramStart"/>
      <w:r w:rsidRPr="006C6002">
        <w:rPr>
          <w:rFonts w:ascii="Calibri" w:hAnsi="Calibri" w:cs="Calibri"/>
          <w:sz w:val="24"/>
          <w:szCs w:val="24"/>
        </w:rPr>
        <w:t>);</w:t>
      </w:r>
      <w:proofErr w:type="gramEnd"/>
    </w:p>
    <w:p w14:paraId="10AD235E" w14:textId="77777777" w:rsidR="009810AA" w:rsidRPr="006C6002" w:rsidRDefault="009810AA" w:rsidP="00E86371">
      <w:pPr>
        <w:pStyle w:val="ListParagraph"/>
        <w:numPr>
          <w:ilvl w:val="0"/>
          <w:numId w:val="5"/>
        </w:numPr>
        <w:spacing w:line="360" w:lineRule="auto"/>
        <w:contextualSpacing w:val="0"/>
        <w:jc w:val="both"/>
        <w:rPr>
          <w:rFonts w:ascii="Calibri" w:hAnsi="Calibri" w:cs="Calibri"/>
          <w:sz w:val="24"/>
          <w:szCs w:val="24"/>
        </w:rPr>
      </w:pPr>
      <w:r w:rsidRPr="006C6002">
        <w:rPr>
          <w:rFonts w:ascii="Calibri" w:hAnsi="Calibri" w:cs="Calibri"/>
          <w:sz w:val="24"/>
          <w:szCs w:val="24"/>
        </w:rPr>
        <w:t xml:space="preserve">where the decision would otherwise appear </w:t>
      </w:r>
      <w:r w:rsidRPr="006C6002">
        <w:rPr>
          <w:rFonts w:ascii="Calibri" w:hAnsi="Calibri" w:cs="Calibri"/>
          <w:b/>
          <w:bCs/>
          <w:sz w:val="24"/>
          <w:szCs w:val="24"/>
        </w:rPr>
        <w:t>aberrant</w:t>
      </w:r>
      <w:r w:rsidRPr="006C6002">
        <w:rPr>
          <w:rFonts w:ascii="Calibri" w:hAnsi="Calibri" w:cs="Calibri"/>
          <w:sz w:val="24"/>
          <w:szCs w:val="24"/>
        </w:rPr>
        <w:t>; or</w:t>
      </w:r>
    </w:p>
    <w:p w14:paraId="6D8BC7BD" w14:textId="7D01E4D1" w:rsidR="00CC6174" w:rsidRPr="006C6002" w:rsidRDefault="009810AA" w:rsidP="00E86371">
      <w:pPr>
        <w:pStyle w:val="ListParagraph"/>
        <w:numPr>
          <w:ilvl w:val="0"/>
          <w:numId w:val="5"/>
        </w:numPr>
        <w:spacing w:line="360" w:lineRule="auto"/>
        <w:contextualSpacing w:val="0"/>
        <w:jc w:val="both"/>
        <w:rPr>
          <w:rFonts w:ascii="Calibri" w:hAnsi="Calibri" w:cs="Calibri"/>
          <w:sz w:val="24"/>
          <w:szCs w:val="24"/>
        </w:rPr>
      </w:pPr>
      <w:r w:rsidRPr="006C6002">
        <w:rPr>
          <w:rFonts w:ascii="Calibri" w:hAnsi="Calibri" w:cs="Calibri"/>
          <w:sz w:val="24"/>
          <w:szCs w:val="24"/>
        </w:rPr>
        <w:t xml:space="preserve">where the </w:t>
      </w:r>
      <w:r w:rsidRPr="006C6002">
        <w:rPr>
          <w:rFonts w:ascii="Calibri" w:hAnsi="Calibri" w:cs="Calibri"/>
          <w:b/>
          <w:bCs/>
          <w:sz w:val="24"/>
          <w:szCs w:val="24"/>
        </w:rPr>
        <w:t>subject matter</w:t>
      </w:r>
      <w:r w:rsidRPr="006C6002">
        <w:rPr>
          <w:rFonts w:ascii="Calibri" w:hAnsi="Calibri" w:cs="Calibri"/>
          <w:sz w:val="24"/>
          <w:szCs w:val="24"/>
        </w:rPr>
        <w:t xml:space="preserve"> is particularly highly regarded (such as a person’s liberty, or opportunity to hold a public office).</w:t>
      </w:r>
    </w:p>
    <w:p w14:paraId="7021E6F1" w14:textId="3809DDB9" w:rsidR="009810AA" w:rsidRPr="006C6002" w:rsidRDefault="009810AA" w:rsidP="00892DE2">
      <w:pPr>
        <w:numPr>
          <w:ilvl w:val="0"/>
          <w:numId w:val="1"/>
        </w:numPr>
        <w:tabs>
          <w:tab w:val="num" w:pos="717"/>
        </w:tabs>
        <w:spacing w:after="240" w:line="360" w:lineRule="auto"/>
        <w:ind w:hanging="720"/>
        <w:jc w:val="both"/>
        <w:rPr>
          <w:rFonts w:ascii="Calibri" w:hAnsi="Calibri" w:cs="Calibri"/>
          <w:sz w:val="24"/>
          <w:szCs w:val="24"/>
        </w:rPr>
      </w:pPr>
      <w:r w:rsidRPr="006C6002">
        <w:rPr>
          <w:rFonts w:ascii="Calibri" w:hAnsi="Calibri" w:cs="Calibri"/>
          <w:sz w:val="24"/>
          <w:szCs w:val="24"/>
        </w:rPr>
        <w:t>Refusal to give reasons is a risky course for public bodies in any event because:</w:t>
      </w:r>
    </w:p>
    <w:p w14:paraId="5FA5B1E5" w14:textId="77777777" w:rsidR="009810AA" w:rsidRPr="006C6002" w:rsidRDefault="009810AA" w:rsidP="00E86371">
      <w:pPr>
        <w:pStyle w:val="ListParagraph"/>
        <w:numPr>
          <w:ilvl w:val="0"/>
          <w:numId w:val="5"/>
        </w:numPr>
        <w:spacing w:line="360" w:lineRule="auto"/>
        <w:contextualSpacing w:val="0"/>
        <w:jc w:val="both"/>
        <w:rPr>
          <w:rFonts w:ascii="Calibri" w:hAnsi="Calibri" w:cs="Calibri"/>
          <w:sz w:val="24"/>
          <w:szCs w:val="24"/>
        </w:rPr>
      </w:pPr>
      <w:r w:rsidRPr="006C6002">
        <w:rPr>
          <w:rFonts w:ascii="Calibri" w:hAnsi="Calibri" w:cs="Calibri"/>
          <w:sz w:val="24"/>
          <w:szCs w:val="24"/>
        </w:rPr>
        <w:t>reasons can be sought in a letter before claim to which the judicial review pre-action protocol applies (normally a letter of response will be expected</w:t>
      </w:r>
      <w:proofErr w:type="gramStart"/>
      <w:r w:rsidRPr="006C6002">
        <w:rPr>
          <w:rFonts w:ascii="Calibri" w:hAnsi="Calibri" w:cs="Calibri"/>
          <w:sz w:val="24"/>
          <w:szCs w:val="24"/>
        </w:rPr>
        <w:t>);</w:t>
      </w:r>
      <w:proofErr w:type="gramEnd"/>
    </w:p>
    <w:p w14:paraId="72A69241" w14:textId="77777777" w:rsidR="009810AA" w:rsidRPr="006C6002" w:rsidRDefault="009810AA" w:rsidP="00E86371">
      <w:pPr>
        <w:pStyle w:val="ListParagraph"/>
        <w:numPr>
          <w:ilvl w:val="0"/>
          <w:numId w:val="5"/>
        </w:numPr>
        <w:spacing w:line="360" w:lineRule="auto"/>
        <w:contextualSpacing w:val="0"/>
        <w:jc w:val="both"/>
        <w:rPr>
          <w:rFonts w:ascii="Calibri" w:hAnsi="Calibri" w:cs="Calibri"/>
          <w:sz w:val="24"/>
          <w:szCs w:val="24"/>
        </w:rPr>
      </w:pPr>
      <w:r w:rsidRPr="006C6002">
        <w:rPr>
          <w:rFonts w:ascii="Calibri" w:hAnsi="Calibri" w:cs="Calibri"/>
          <w:sz w:val="24"/>
          <w:szCs w:val="24"/>
        </w:rPr>
        <w:t>a body challenged through judicial review will normally be expected to explain itself to the court; and</w:t>
      </w:r>
    </w:p>
    <w:p w14:paraId="7B45AF50" w14:textId="5C7B83D5" w:rsidR="009810AA" w:rsidRPr="006C6002" w:rsidRDefault="009810AA" w:rsidP="00E86371">
      <w:pPr>
        <w:pStyle w:val="ListParagraph"/>
        <w:numPr>
          <w:ilvl w:val="0"/>
          <w:numId w:val="5"/>
        </w:numPr>
        <w:spacing w:line="360" w:lineRule="auto"/>
        <w:contextualSpacing w:val="0"/>
        <w:jc w:val="both"/>
        <w:rPr>
          <w:rFonts w:ascii="Calibri" w:hAnsi="Calibri" w:cs="Calibri"/>
          <w:sz w:val="24"/>
          <w:szCs w:val="24"/>
        </w:rPr>
      </w:pPr>
      <w:r w:rsidRPr="006C6002">
        <w:rPr>
          <w:rFonts w:ascii="Calibri" w:hAnsi="Calibri" w:cs="Calibri"/>
          <w:sz w:val="24"/>
          <w:szCs w:val="24"/>
        </w:rPr>
        <w:t xml:space="preserve">if no reasons can be offered for a decision, the court may conclude that there are no good reasons for it, and in turn, that the body has acted irrationally: see </w:t>
      </w:r>
      <w:r w:rsidRPr="006C6002">
        <w:rPr>
          <w:rFonts w:ascii="Calibri" w:hAnsi="Calibri" w:cs="Calibri"/>
          <w:i/>
          <w:iCs/>
          <w:sz w:val="24"/>
          <w:szCs w:val="24"/>
        </w:rPr>
        <w:t xml:space="preserve">Padfield v </w:t>
      </w:r>
      <w:r w:rsidR="00ED236D" w:rsidRPr="006C6002">
        <w:rPr>
          <w:rFonts w:ascii="Calibri" w:hAnsi="Calibri" w:cs="Calibri"/>
          <w:i/>
          <w:iCs/>
          <w:sz w:val="24"/>
          <w:szCs w:val="24"/>
        </w:rPr>
        <w:t>Minister for Agriculture, Fisheries and Food</w:t>
      </w:r>
      <w:r w:rsidRPr="006C6002">
        <w:rPr>
          <w:rFonts w:ascii="Calibri" w:hAnsi="Calibri" w:cs="Calibri"/>
          <w:sz w:val="24"/>
          <w:szCs w:val="24"/>
        </w:rPr>
        <w:t xml:space="preserve"> [1968] AC 977.</w:t>
      </w:r>
    </w:p>
    <w:p w14:paraId="3B6378E3" w14:textId="77777777" w:rsidR="009810AA" w:rsidRPr="006C6002" w:rsidRDefault="009810AA" w:rsidP="00892DE2">
      <w:pPr>
        <w:spacing w:line="360" w:lineRule="auto"/>
        <w:ind w:firstLine="720"/>
        <w:jc w:val="both"/>
        <w:rPr>
          <w:rFonts w:ascii="Calibri" w:hAnsi="Calibri" w:cs="Calibri"/>
          <w:i/>
          <w:iCs/>
          <w:sz w:val="24"/>
          <w:szCs w:val="24"/>
        </w:rPr>
      </w:pPr>
      <w:r w:rsidRPr="006C6002">
        <w:rPr>
          <w:rFonts w:ascii="Calibri" w:hAnsi="Calibri" w:cs="Calibri"/>
          <w:i/>
          <w:iCs/>
          <w:sz w:val="24"/>
          <w:szCs w:val="24"/>
        </w:rPr>
        <w:t>The impact of the Human Rights Act 1998 on fairness challenges</w:t>
      </w:r>
    </w:p>
    <w:p w14:paraId="72217ACC" w14:textId="77777777" w:rsidR="009810AA" w:rsidRPr="006C6002" w:rsidRDefault="009810AA" w:rsidP="00892DE2">
      <w:pPr>
        <w:numPr>
          <w:ilvl w:val="0"/>
          <w:numId w:val="1"/>
        </w:numPr>
        <w:tabs>
          <w:tab w:val="num" w:pos="717"/>
        </w:tabs>
        <w:spacing w:after="240" w:line="360" w:lineRule="auto"/>
        <w:ind w:hanging="720"/>
        <w:jc w:val="both"/>
        <w:rPr>
          <w:rFonts w:ascii="Calibri" w:hAnsi="Calibri" w:cs="Calibri"/>
          <w:sz w:val="24"/>
          <w:szCs w:val="24"/>
        </w:rPr>
      </w:pPr>
      <w:r w:rsidRPr="006C6002">
        <w:rPr>
          <w:rFonts w:ascii="Calibri" w:hAnsi="Calibri" w:cs="Calibri"/>
          <w:sz w:val="24"/>
          <w:szCs w:val="24"/>
        </w:rPr>
        <w:lastRenderedPageBreak/>
        <w:t>The duty to act fairly has further developed under the influence of Article 6 – ‘the right to a fair hearing’ along with others scheduled to the Human Rights Act 1998 (</w:t>
      </w:r>
      <w:proofErr w:type="gramStart"/>
      <w:r w:rsidRPr="006C6002">
        <w:rPr>
          <w:rFonts w:ascii="Calibri" w:hAnsi="Calibri" w:cs="Calibri"/>
          <w:sz w:val="24"/>
          <w:szCs w:val="24"/>
        </w:rPr>
        <w:t>in particular Articles</w:t>
      </w:r>
      <w:proofErr w:type="gramEnd"/>
      <w:r w:rsidRPr="006C6002">
        <w:rPr>
          <w:rFonts w:ascii="Calibri" w:hAnsi="Calibri" w:cs="Calibri"/>
          <w:sz w:val="24"/>
          <w:szCs w:val="24"/>
        </w:rPr>
        <w:t xml:space="preserve"> 2, 5 and 8) into which the Strasbourg court has implied certain procedural guarantees.</w:t>
      </w:r>
    </w:p>
    <w:p w14:paraId="0970D840" w14:textId="77777777" w:rsidR="009810AA" w:rsidRPr="006C6002" w:rsidRDefault="009810AA" w:rsidP="00892DE2">
      <w:pPr>
        <w:spacing w:line="360" w:lineRule="auto"/>
        <w:ind w:firstLine="720"/>
        <w:jc w:val="both"/>
        <w:rPr>
          <w:rFonts w:ascii="Calibri" w:hAnsi="Calibri" w:cs="Calibri"/>
          <w:i/>
          <w:iCs/>
          <w:sz w:val="24"/>
          <w:szCs w:val="24"/>
        </w:rPr>
      </w:pPr>
      <w:r w:rsidRPr="006C6002">
        <w:rPr>
          <w:rFonts w:ascii="Calibri" w:hAnsi="Calibri" w:cs="Calibri"/>
          <w:i/>
          <w:iCs/>
          <w:sz w:val="24"/>
          <w:szCs w:val="24"/>
        </w:rPr>
        <w:t>Article 6</w:t>
      </w:r>
    </w:p>
    <w:p w14:paraId="7D07CE13" w14:textId="432D46D0" w:rsidR="00CC6174" w:rsidRPr="006C6002" w:rsidRDefault="009810AA" w:rsidP="00892DE2">
      <w:pPr>
        <w:numPr>
          <w:ilvl w:val="0"/>
          <w:numId w:val="1"/>
        </w:numPr>
        <w:tabs>
          <w:tab w:val="num" w:pos="717"/>
        </w:tabs>
        <w:spacing w:after="240" w:line="360" w:lineRule="auto"/>
        <w:ind w:hanging="720"/>
        <w:jc w:val="both"/>
        <w:rPr>
          <w:rFonts w:ascii="Calibri" w:hAnsi="Calibri" w:cs="Calibri"/>
          <w:sz w:val="24"/>
          <w:szCs w:val="24"/>
        </w:rPr>
      </w:pPr>
      <w:r w:rsidRPr="006C6002">
        <w:rPr>
          <w:rFonts w:ascii="Calibri" w:hAnsi="Calibri" w:cs="Calibri"/>
          <w:sz w:val="24"/>
          <w:szCs w:val="24"/>
        </w:rPr>
        <w:t>When it is engaged, Art 6 will import certain procedural guarantees. Subject to certain exceptions, the hearing is to be ‘public’, take place within a ‘reasonable time’ and be before an ‘independent and impartial tribunal established by law.’</w:t>
      </w:r>
    </w:p>
    <w:p w14:paraId="25740708" w14:textId="592F0CB8" w:rsidR="009810AA" w:rsidRPr="006C6002" w:rsidRDefault="009810AA" w:rsidP="00892DE2">
      <w:pPr>
        <w:numPr>
          <w:ilvl w:val="0"/>
          <w:numId w:val="1"/>
        </w:numPr>
        <w:tabs>
          <w:tab w:val="num" w:pos="717"/>
        </w:tabs>
        <w:spacing w:after="240" w:line="360" w:lineRule="auto"/>
        <w:ind w:hanging="720"/>
        <w:jc w:val="both"/>
        <w:rPr>
          <w:rFonts w:ascii="Calibri" w:hAnsi="Calibri" w:cs="Calibri"/>
          <w:sz w:val="24"/>
          <w:szCs w:val="24"/>
        </w:rPr>
      </w:pPr>
      <w:r w:rsidRPr="006C6002">
        <w:rPr>
          <w:rFonts w:ascii="Calibri" w:hAnsi="Calibri" w:cs="Calibri"/>
          <w:sz w:val="24"/>
          <w:szCs w:val="24"/>
        </w:rPr>
        <w:t xml:space="preserve">Applying these requirements since the HRA 1998 has led to the refinement of existing common law standards. For instance, where partiality is alleged, the court must first ascertain all the circumstances which have a bearing on the suggestion that the body holding the hearing was biased. It must then ask whether those circumstances would lead a fair minded and informed observer to conclude that there was a real possibility that the tribunal was biased in accordance with the ECtHR approach (see </w:t>
      </w:r>
      <w:r w:rsidRPr="006C6002">
        <w:rPr>
          <w:rFonts w:ascii="Calibri" w:hAnsi="Calibri" w:cs="Calibri"/>
          <w:i/>
          <w:iCs/>
          <w:sz w:val="24"/>
          <w:szCs w:val="24"/>
        </w:rPr>
        <w:t>In re Medicaments and Related Classes of Goods (No 2)</w:t>
      </w:r>
      <w:r w:rsidRPr="006C6002">
        <w:rPr>
          <w:rFonts w:ascii="Calibri" w:hAnsi="Calibri" w:cs="Calibri"/>
          <w:sz w:val="24"/>
          <w:szCs w:val="24"/>
        </w:rPr>
        <w:t xml:space="preserve"> [2001] 1 WLR 700, CA and </w:t>
      </w:r>
      <w:r w:rsidRPr="006C6002">
        <w:rPr>
          <w:rFonts w:ascii="Calibri" w:hAnsi="Calibri" w:cs="Calibri"/>
          <w:i/>
          <w:iCs/>
          <w:sz w:val="24"/>
          <w:szCs w:val="24"/>
        </w:rPr>
        <w:t>Porter and another v Magill</w:t>
      </w:r>
      <w:r w:rsidRPr="006C6002">
        <w:rPr>
          <w:rFonts w:ascii="Calibri" w:hAnsi="Calibri" w:cs="Calibri"/>
          <w:sz w:val="24"/>
          <w:szCs w:val="24"/>
        </w:rPr>
        <w:t xml:space="preserve"> [2001] UKHL 67, [2002] 1 All ER 465, HL).</w:t>
      </w:r>
    </w:p>
    <w:p w14:paraId="6F3E944C" w14:textId="77777777" w:rsidR="009810AA" w:rsidRPr="006C6002" w:rsidRDefault="009810AA" w:rsidP="00892DE2">
      <w:pPr>
        <w:spacing w:line="360" w:lineRule="auto"/>
        <w:ind w:firstLine="720"/>
        <w:jc w:val="both"/>
        <w:rPr>
          <w:rFonts w:ascii="Calibri" w:hAnsi="Calibri" w:cs="Calibri"/>
          <w:i/>
          <w:iCs/>
          <w:sz w:val="24"/>
          <w:szCs w:val="24"/>
        </w:rPr>
      </w:pPr>
      <w:r w:rsidRPr="006C6002">
        <w:rPr>
          <w:rFonts w:ascii="Calibri" w:hAnsi="Calibri" w:cs="Calibri"/>
          <w:i/>
          <w:iCs/>
          <w:sz w:val="24"/>
          <w:szCs w:val="24"/>
        </w:rPr>
        <w:t>Other Convention Articles</w:t>
      </w:r>
    </w:p>
    <w:p w14:paraId="31688884" w14:textId="4A9F8D3C" w:rsidR="00CC6174" w:rsidRPr="006C6002" w:rsidRDefault="009810AA" w:rsidP="00892DE2">
      <w:pPr>
        <w:numPr>
          <w:ilvl w:val="0"/>
          <w:numId w:val="1"/>
        </w:numPr>
        <w:tabs>
          <w:tab w:val="num" w:pos="717"/>
        </w:tabs>
        <w:spacing w:after="240" w:line="360" w:lineRule="auto"/>
        <w:ind w:hanging="720"/>
        <w:jc w:val="both"/>
        <w:rPr>
          <w:rFonts w:ascii="Calibri" w:hAnsi="Calibri" w:cs="Calibri"/>
          <w:sz w:val="24"/>
          <w:szCs w:val="24"/>
        </w:rPr>
      </w:pPr>
      <w:r w:rsidRPr="006C6002">
        <w:rPr>
          <w:rFonts w:ascii="Calibri" w:hAnsi="Calibri" w:cs="Calibri"/>
          <w:sz w:val="24"/>
          <w:szCs w:val="24"/>
        </w:rPr>
        <w:t xml:space="preserve">As mentioned above, other Convention Articles have an implicit procedural element. Article 2 has been held to require an effective investigation into deaths at the hands of state officials, or where such officials are responsible for that person’s care (see </w:t>
      </w:r>
      <w:r w:rsidRPr="006C6002">
        <w:rPr>
          <w:rFonts w:ascii="Calibri" w:hAnsi="Calibri" w:cs="Calibri"/>
          <w:i/>
          <w:iCs/>
          <w:sz w:val="24"/>
          <w:szCs w:val="24"/>
        </w:rPr>
        <w:t>R (on the application of Amin and another) v Secretary of State for the Home Department</w:t>
      </w:r>
      <w:r w:rsidRPr="006C6002">
        <w:rPr>
          <w:rFonts w:ascii="Calibri" w:hAnsi="Calibri" w:cs="Calibri"/>
          <w:sz w:val="24"/>
          <w:szCs w:val="24"/>
        </w:rPr>
        <w:t xml:space="preserve"> [2002] EWCA </w:t>
      </w:r>
      <w:proofErr w:type="spellStart"/>
      <w:r w:rsidRPr="006C6002">
        <w:rPr>
          <w:rFonts w:ascii="Calibri" w:hAnsi="Calibri" w:cs="Calibri"/>
          <w:sz w:val="24"/>
          <w:szCs w:val="24"/>
        </w:rPr>
        <w:t>Civ</w:t>
      </w:r>
      <w:proofErr w:type="spellEnd"/>
      <w:r w:rsidRPr="006C6002">
        <w:rPr>
          <w:rFonts w:ascii="Calibri" w:hAnsi="Calibri" w:cs="Calibri"/>
          <w:sz w:val="24"/>
          <w:szCs w:val="24"/>
        </w:rPr>
        <w:t xml:space="preserve"> 390, CA) and </w:t>
      </w:r>
      <w:r w:rsidRPr="006C6002">
        <w:rPr>
          <w:rFonts w:ascii="Calibri" w:hAnsi="Calibri" w:cs="Calibri"/>
          <w:i/>
          <w:iCs/>
          <w:sz w:val="24"/>
          <w:szCs w:val="24"/>
        </w:rPr>
        <w:t>R v HM Coroner for the Western District of Somerset and another ex p Middleton</w:t>
      </w:r>
      <w:r w:rsidRPr="006C6002">
        <w:rPr>
          <w:rFonts w:ascii="Calibri" w:hAnsi="Calibri" w:cs="Calibri"/>
          <w:sz w:val="24"/>
          <w:szCs w:val="24"/>
        </w:rPr>
        <w:t xml:space="preserve"> [2004] UKHL 10.</w:t>
      </w:r>
    </w:p>
    <w:p w14:paraId="57AA0101" w14:textId="2082EE37" w:rsidR="009810AA" w:rsidRPr="006C6002" w:rsidRDefault="009810AA" w:rsidP="00892DE2">
      <w:pPr>
        <w:numPr>
          <w:ilvl w:val="0"/>
          <w:numId w:val="1"/>
        </w:numPr>
        <w:tabs>
          <w:tab w:val="num" w:pos="717"/>
        </w:tabs>
        <w:spacing w:after="240" w:line="360" w:lineRule="auto"/>
        <w:ind w:hanging="720"/>
        <w:jc w:val="both"/>
        <w:rPr>
          <w:rFonts w:ascii="Calibri" w:hAnsi="Calibri" w:cs="Calibri"/>
          <w:sz w:val="24"/>
          <w:szCs w:val="24"/>
        </w:rPr>
      </w:pPr>
      <w:r w:rsidRPr="006C6002">
        <w:rPr>
          <w:rFonts w:ascii="Calibri" w:hAnsi="Calibri" w:cs="Calibri"/>
          <w:sz w:val="24"/>
          <w:szCs w:val="24"/>
        </w:rPr>
        <w:t xml:space="preserve">Where respect for family or private life may be imperilled </w:t>
      </w:r>
      <w:proofErr w:type="gramStart"/>
      <w:r w:rsidRPr="006C6002">
        <w:rPr>
          <w:rFonts w:ascii="Calibri" w:hAnsi="Calibri" w:cs="Calibri"/>
          <w:sz w:val="24"/>
          <w:szCs w:val="24"/>
        </w:rPr>
        <w:t>as a result of</w:t>
      </w:r>
      <w:proofErr w:type="gramEnd"/>
      <w:r w:rsidRPr="006C6002">
        <w:rPr>
          <w:rFonts w:ascii="Calibri" w:hAnsi="Calibri" w:cs="Calibri"/>
          <w:sz w:val="24"/>
          <w:szCs w:val="24"/>
        </w:rPr>
        <w:t xml:space="preserve"> a decision, Article 8 will import a procedural element into the </w:t>
      </w:r>
      <w:proofErr w:type="gramStart"/>
      <w:r w:rsidRPr="006C6002">
        <w:rPr>
          <w:rFonts w:ascii="Calibri" w:hAnsi="Calibri" w:cs="Calibri"/>
          <w:sz w:val="24"/>
          <w:szCs w:val="24"/>
        </w:rPr>
        <w:t>decision making</w:t>
      </w:r>
      <w:proofErr w:type="gramEnd"/>
      <w:r w:rsidRPr="006C6002">
        <w:rPr>
          <w:rFonts w:ascii="Calibri" w:hAnsi="Calibri" w:cs="Calibri"/>
          <w:sz w:val="24"/>
          <w:szCs w:val="24"/>
        </w:rPr>
        <w:t xml:space="preserve"> process, necessitating, for example, disclosure of documents (see </w:t>
      </w:r>
      <w:r w:rsidRPr="006C6002">
        <w:rPr>
          <w:rFonts w:ascii="Calibri" w:hAnsi="Calibri" w:cs="Calibri"/>
          <w:i/>
          <w:iCs/>
          <w:sz w:val="24"/>
          <w:szCs w:val="24"/>
        </w:rPr>
        <w:t>R (on the application of Stevens) v City of Plymouth</w:t>
      </w:r>
      <w:r w:rsidRPr="006C6002">
        <w:rPr>
          <w:rFonts w:ascii="Calibri" w:hAnsi="Calibri" w:cs="Calibri"/>
          <w:sz w:val="24"/>
          <w:szCs w:val="24"/>
        </w:rPr>
        <w:t xml:space="preserve"> [2002] EWCA </w:t>
      </w:r>
      <w:proofErr w:type="spellStart"/>
      <w:r w:rsidRPr="006C6002">
        <w:rPr>
          <w:rFonts w:ascii="Calibri" w:hAnsi="Calibri" w:cs="Calibri"/>
          <w:sz w:val="24"/>
          <w:szCs w:val="24"/>
        </w:rPr>
        <w:t>Civ</w:t>
      </w:r>
      <w:proofErr w:type="spellEnd"/>
      <w:r w:rsidRPr="006C6002">
        <w:rPr>
          <w:rFonts w:ascii="Calibri" w:hAnsi="Calibri" w:cs="Calibri"/>
          <w:sz w:val="24"/>
          <w:szCs w:val="24"/>
        </w:rPr>
        <w:t xml:space="preserve"> 388, CA). Article 8 procedural obligations may also require legal aid to be provided to ensure there is effective access to the </w:t>
      </w:r>
      <w:proofErr w:type="gramStart"/>
      <w:r w:rsidRPr="006C6002">
        <w:rPr>
          <w:rFonts w:ascii="Calibri" w:hAnsi="Calibri" w:cs="Calibri"/>
          <w:sz w:val="24"/>
          <w:szCs w:val="24"/>
        </w:rPr>
        <w:lastRenderedPageBreak/>
        <w:t>decision making</w:t>
      </w:r>
      <w:proofErr w:type="gramEnd"/>
      <w:r w:rsidRPr="006C6002">
        <w:rPr>
          <w:rFonts w:ascii="Calibri" w:hAnsi="Calibri" w:cs="Calibri"/>
          <w:sz w:val="24"/>
          <w:szCs w:val="24"/>
        </w:rPr>
        <w:t xml:space="preserve"> process (see </w:t>
      </w:r>
      <w:r w:rsidRPr="006C6002">
        <w:rPr>
          <w:rFonts w:ascii="Calibri" w:hAnsi="Calibri" w:cs="Calibri"/>
          <w:i/>
          <w:iCs/>
          <w:sz w:val="24"/>
          <w:szCs w:val="24"/>
        </w:rPr>
        <w:t>R</w:t>
      </w:r>
      <w:r w:rsidR="00ED236D" w:rsidRPr="006C6002">
        <w:rPr>
          <w:rFonts w:ascii="Calibri" w:hAnsi="Calibri" w:cs="Calibri"/>
          <w:i/>
          <w:iCs/>
          <w:sz w:val="24"/>
          <w:szCs w:val="24"/>
        </w:rPr>
        <w:t xml:space="preserve"> </w:t>
      </w:r>
      <w:r w:rsidRPr="006C6002">
        <w:rPr>
          <w:rFonts w:ascii="Calibri" w:hAnsi="Calibri" w:cs="Calibri"/>
          <w:i/>
          <w:iCs/>
          <w:sz w:val="24"/>
          <w:szCs w:val="24"/>
        </w:rPr>
        <w:t>(</w:t>
      </w:r>
      <w:proofErr w:type="spellStart"/>
      <w:r w:rsidRPr="006C6002">
        <w:rPr>
          <w:rFonts w:ascii="Calibri" w:hAnsi="Calibri" w:cs="Calibri"/>
          <w:i/>
          <w:iCs/>
          <w:sz w:val="24"/>
          <w:szCs w:val="24"/>
        </w:rPr>
        <w:t>Gudanaviciene</w:t>
      </w:r>
      <w:proofErr w:type="spellEnd"/>
      <w:r w:rsidRPr="006C6002">
        <w:rPr>
          <w:rFonts w:ascii="Calibri" w:hAnsi="Calibri" w:cs="Calibri"/>
          <w:i/>
          <w:iCs/>
          <w:sz w:val="24"/>
          <w:szCs w:val="24"/>
        </w:rPr>
        <w:t>) v Director of Legal Aid Casework and Lord Chancellor</w:t>
      </w:r>
      <w:r w:rsidRPr="006C6002">
        <w:rPr>
          <w:rFonts w:ascii="Calibri" w:hAnsi="Calibri" w:cs="Calibri"/>
          <w:sz w:val="24"/>
          <w:szCs w:val="24"/>
        </w:rPr>
        <w:t xml:space="preserve"> [2014] EWCA </w:t>
      </w:r>
      <w:proofErr w:type="spellStart"/>
      <w:r w:rsidRPr="006C6002">
        <w:rPr>
          <w:rFonts w:ascii="Calibri" w:hAnsi="Calibri" w:cs="Calibri"/>
          <w:sz w:val="24"/>
          <w:szCs w:val="24"/>
        </w:rPr>
        <w:t>Civ</w:t>
      </w:r>
      <w:proofErr w:type="spellEnd"/>
      <w:r w:rsidRPr="006C6002">
        <w:rPr>
          <w:rFonts w:ascii="Calibri" w:hAnsi="Calibri" w:cs="Calibri"/>
          <w:sz w:val="24"/>
          <w:szCs w:val="24"/>
        </w:rPr>
        <w:t xml:space="preserve"> 1622</w:t>
      </w:r>
    </w:p>
    <w:p w14:paraId="2FF557A9" w14:textId="77777777" w:rsidR="009810AA" w:rsidRPr="006C6002" w:rsidRDefault="009810AA" w:rsidP="00892DE2">
      <w:pPr>
        <w:spacing w:line="360" w:lineRule="auto"/>
        <w:ind w:firstLine="720"/>
        <w:jc w:val="both"/>
        <w:rPr>
          <w:rFonts w:ascii="Calibri" w:hAnsi="Calibri" w:cs="Calibri"/>
          <w:b/>
          <w:bCs/>
          <w:sz w:val="24"/>
          <w:szCs w:val="24"/>
        </w:rPr>
      </w:pPr>
      <w:r w:rsidRPr="006C6002">
        <w:rPr>
          <w:rFonts w:ascii="Calibri" w:hAnsi="Calibri" w:cs="Calibri"/>
          <w:b/>
          <w:bCs/>
          <w:sz w:val="24"/>
          <w:szCs w:val="24"/>
        </w:rPr>
        <w:t>Irrationality and proportionality</w:t>
      </w:r>
    </w:p>
    <w:p w14:paraId="7230AF21" w14:textId="253E490A" w:rsidR="009810AA" w:rsidRPr="006C6002" w:rsidRDefault="009810AA" w:rsidP="00892DE2">
      <w:pPr>
        <w:numPr>
          <w:ilvl w:val="0"/>
          <w:numId w:val="1"/>
        </w:numPr>
        <w:tabs>
          <w:tab w:val="num" w:pos="717"/>
        </w:tabs>
        <w:spacing w:after="240" w:line="360" w:lineRule="auto"/>
        <w:ind w:hanging="720"/>
        <w:jc w:val="both"/>
        <w:rPr>
          <w:rFonts w:ascii="Calibri" w:hAnsi="Calibri" w:cs="Calibri"/>
          <w:sz w:val="24"/>
          <w:szCs w:val="24"/>
        </w:rPr>
      </w:pPr>
      <w:r w:rsidRPr="006C6002">
        <w:rPr>
          <w:rFonts w:ascii="Calibri" w:hAnsi="Calibri" w:cs="Calibri"/>
          <w:sz w:val="24"/>
          <w:szCs w:val="24"/>
        </w:rPr>
        <w:t>Where a decision maker is subject to judicial review s/he must not act in a way that no reasonable decision maker would consider justifiable. The degree of justification required will depend on the context generally or whether human rights</w:t>
      </w:r>
      <w:r w:rsidR="00ED236D" w:rsidRPr="006C6002">
        <w:rPr>
          <w:rFonts w:ascii="Calibri" w:hAnsi="Calibri" w:cs="Calibri"/>
          <w:sz w:val="24"/>
          <w:szCs w:val="24"/>
        </w:rPr>
        <w:t xml:space="preserve"> </w:t>
      </w:r>
      <w:r w:rsidRPr="006C6002">
        <w:rPr>
          <w:rFonts w:ascii="Calibri" w:hAnsi="Calibri" w:cs="Calibri"/>
          <w:sz w:val="24"/>
          <w:szCs w:val="24"/>
        </w:rPr>
        <w:t>are at play.</w:t>
      </w:r>
    </w:p>
    <w:p w14:paraId="50BB82CB" w14:textId="77777777" w:rsidR="009810AA" w:rsidRPr="006C6002" w:rsidRDefault="009810AA" w:rsidP="00892DE2">
      <w:pPr>
        <w:spacing w:line="360" w:lineRule="auto"/>
        <w:ind w:firstLine="720"/>
        <w:jc w:val="both"/>
        <w:rPr>
          <w:rFonts w:ascii="Calibri" w:hAnsi="Calibri" w:cs="Calibri"/>
          <w:b/>
          <w:bCs/>
          <w:sz w:val="24"/>
          <w:szCs w:val="24"/>
        </w:rPr>
      </w:pPr>
      <w:r w:rsidRPr="006C6002">
        <w:rPr>
          <w:rFonts w:ascii="Calibri" w:hAnsi="Calibri" w:cs="Calibri"/>
          <w:b/>
          <w:bCs/>
          <w:sz w:val="24"/>
          <w:szCs w:val="24"/>
        </w:rPr>
        <w:t>Wednesbury unreasonableness</w:t>
      </w:r>
    </w:p>
    <w:p w14:paraId="28627926" w14:textId="58BF13DA" w:rsidR="00CC6174" w:rsidRPr="006C6002" w:rsidRDefault="009810AA" w:rsidP="00892DE2">
      <w:pPr>
        <w:numPr>
          <w:ilvl w:val="0"/>
          <w:numId w:val="1"/>
        </w:numPr>
        <w:tabs>
          <w:tab w:val="num" w:pos="717"/>
        </w:tabs>
        <w:spacing w:after="240" w:line="360" w:lineRule="auto"/>
        <w:ind w:hanging="720"/>
        <w:jc w:val="both"/>
        <w:rPr>
          <w:rFonts w:ascii="Calibri" w:hAnsi="Calibri" w:cs="Calibri"/>
          <w:sz w:val="24"/>
          <w:szCs w:val="24"/>
        </w:rPr>
      </w:pPr>
      <w:r w:rsidRPr="006C6002">
        <w:rPr>
          <w:rFonts w:ascii="Calibri" w:hAnsi="Calibri" w:cs="Calibri"/>
          <w:sz w:val="24"/>
          <w:szCs w:val="24"/>
        </w:rPr>
        <w:t>The courts may intervene to quash a decision if they consider it to be so demonstrably unreasonable as to constitute ‘irrationality’ or ‘perversity’ on the part of the decision maker.</w:t>
      </w:r>
    </w:p>
    <w:p w14:paraId="2928DCD7" w14:textId="39FF55E3" w:rsidR="00CC6174" w:rsidRPr="006C6002" w:rsidRDefault="009810AA" w:rsidP="00892DE2">
      <w:pPr>
        <w:numPr>
          <w:ilvl w:val="0"/>
          <w:numId w:val="1"/>
        </w:numPr>
        <w:tabs>
          <w:tab w:val="num" w:pos="717"/>
        </w:tabs>
        <w:spacing w:after="240" w:line="360" w:lineRule="auto"/>
        <w:ind w:hanging="720"/>
        <w:jc w:val="both"/>
        <w:rPr>
          <w:rFonts w:ascii="Calibri" w:hAnsi="Calibri" w:cs="Calibri"/>
          <w:sz w:val="24"/>
          <w:szCs w:val="24"/>
        </w:rPr>
      </w:pPr>
      <w:r w:rsidRPr="006C6002">
        <w:rPr>
          <w:rFonts w:ascii="Calibri" w:hAnsi="Calibri" w:cs="Calibri"/>
          <w:sz w:val="24"/>
          <w:szCs w:val="24"/>
        </w:rPr>
        <w:t>The benchmark decision on this principle of judicial review was made as long ago as</w:t>
      </w:r>
      <w:r w:rsidR="00ED56ED" w:rsidRPr="006C6002">
        <w:rPr>
          <w:rFonts w:ascii="Calibri" w:hAnsi="Calibri" w:cs="Calibri"/>
          <w:sz w:val="24"/>
          <w:szCs w:val="24"/>
        </w:rPr>
        <w:t xml:space="preserve"> </w:t>
      </w:r>
      <w:r w:rsidRPr="006C6002">
        <w:rPr>
          <w:rFonts w:ascii="Calibri" w:hAnsi="Calibri" w:cs="Calibri"/>
          <w:sz w:val="24"/>
          <w:szCs w:val="24"/>
        </w:rPr>
        <w:t>1948, in</w:t>
      </w:r>
      <w:r w:rsidR="00CC6174" w:rsidRPr="006C6002">
        <w:rPr>
          <w:rFonts w:ascii="Calibri" w:hAnsi="Calibri" w:cs="Calibri"/>
          <w:sz w:val="24"/>
          <w:szCs w:val="24"/>
        </w:rPr>
        <w:t xml:space="preserve"> </w:t>
      </w:r>
      <w:r w:rsidRPr="006C6002">
        <w:rPr>
          <w:rFonts w:ascii="Calibri" w:hAnsi="Calibri" w:cs="Calibri"/>
          <w:i/>
          <w:iCs/>
          <w:sz w:val="24"/>
          <w:szCs w:val="24"/>
        </w:rPr>
        <w:t>Associated Provincial Picture Houses Ltd v Wednesbury Corporation</w:t>
      </w:r>
      <w:r w:rsidRPr="006C6002">
        <w:rPr>
          <w:rFonts w:ascii="Calibri" w:hAnsi="Calibri" w:cs="Calibri"/>
          <w:sz w:val="24"/>
          <w:szCs w:val="24"/>
        </w:rPr>
        <w:t xml:space="preserve"> [1948] 1</w:t>
      </w:r>
      <w:r w:rsidR="00ED56ED" w:rsidRPr="006C6002">
        <w:rPr>
          <w:rFonts w:ascii="Calibri" w:hAnsi="Calibri" w:cs="Calibri"/>
          <w:sz w:val="24"/>
          <w:szCs w:val="24"/>
        </w:rPr>
        <w:t xml:space="preserve"> </w:t>
      </w:r>
      <w:r w:rsidRPr="006C6002">
        <w:rPr>
          <w:rFonts w:ascii="Calibri" w:hAnsi="Calibri" w:cs="Calibri"/>
          <w:sz w:val="24"/>
          <w:szCs w:val="24"/>
        </w:rPr>
        <w:t>KB 223, HL), where Lord Greene MR stated:</w:t>
      </w:r>
    </w:p>
    <w:p w14:paraId="75348E43" w14:textId="2C0E42B4" w:rsidR="00CC6174" w:rsidRPr="006C6002" w:rsidRDefault="009810AA" w:rsidP="00E86371">
      <w:pPr>
        <w:pStyle w:val="ListParagraph"/>
        <w:spacing w:line="360" w:lineRule="auto"/>
        <w:ind w:left="1440"/>
        <w:contextualSpacing w:val="0"/>
        <w:jc w:val="both"/>
        <w:rPr>
          <w:rFonts w:ascii="Calibri" w:hAnsi="Calibri" w:cs="Calibri"/>
          <w:i/>
          <w:iCs/>
          <w:sz w:val="24"/>
          <w:szCs w:val="24"/>
        </w:rPr>
      </w:pPr>
      <w:r w:rsidRPr="006C6002">
        <w:rPr>
          <w:rFonts w:ascii="Calibri" w:hAnsi="Calibri" w:cs="Calibri"/>
          <w:i/>
          <w:iCs/>
          <w:sz w:val="24"/>
          <w:szCs w:val="24"/>
        </w:rPr>
        <w:t>If a decision on a competent matter is so unreasonable that no reasonable authority could ever have come to it, then the courts can interfere... but to prove a case of that kind would require something overwhelming...</w:t>
      </w:r>
    </w:p>
    <w:p w14:paraId="42ECB9BC" w14:textId="61B19882" w:rsidR="009810AA" w:rsidRPr="006C6002" w:rsidRDefault="009810AA" w:rsidP="00892DE2">
      <w:pPr>
        <w:numPr>
          <w:ilvl w:val="0"/>
          <w:numId w:val="1"/>
        </w:numPr>
        <w:tabs>
          <w:tab w:val="num" w:pos="717"/>
        </w:tabs>
        <w:spacing w:after="240" w:line="360" w:lineRule="auto"/>
        <w:ind w:hanging="720"/>
        <w:jc w:val="both"/>
        <w:rPr>
          <w:rFonts w:ascii="Calibri" w:hAnsi="Calibri" w:cs="Calibri"/>
          <w:sz w:val="24"/>
          <w:szCs w:val="24"/>
        </w:rPr>
      </w:pPr>
      <w:r w:rsidRPr="006C6002">
        <w:rPr>
          <w:rFonts w:ascii="Calibri" w:hAnsi="Calibri" w:cs="Calibri"/>
          <w:sz w:val="24"/>
          <w:szCs w:val="24"/>
        </w:rPr>
        <w:t xml:space="preserve">Lord Diplock expanded on the </w:t>
      </w:r>
      <w:r w:rsidRPr="006C6002">
        <w:rPr>
          <w:rFonts w:ascii="Calibri" w:hAnsi="Calibri" w:cs="Calibri"/>
          <w:i/>
          <w:iCs/>
          <w:sz w:val="24"/>
          <w:szCs w:val="24"/>
        </w:rPr>
        <w:t>Wednesbury</w:t>
      </w:r>
      <w:r w:rsidRPr="006C6002">
        <w:rPr>
          <w:rFonts w:ascii="Calibri" w:hAnsi="Calibri" w:cs="Calibri"/>
          <w:sz w:val="24"/>
          <w:szCs w:val="24"/>
        </w:rPr>
        <w:t xml:space="preserve"> principle in the GCHQ case (</w:t>
      </w:r>
      <w:r w:rsidRPr="006C6002">
        <w:rPr>
          <w:rFonts w:ascii="Calibri" w:hAnsi="Calibri" w:cs="Calibri"/>
          <w:i/>
          <w:iCs/>
          <w:sz w:val="24"/>
          <w:szCs w:val="24"/>
        </w:rPr>
        <w:t>Council of Civil Service Unions v Minister for the Civil Service</w:t>
      </w:r>
      <w:r w:rsidRPr="006C6002">
        <w:rPr>
          <w:rFonts w:ascii="Calibri" w:hAnsi="Calibri" w:cs="Calibri"/>
          <w:sz w:val="24"/>
          <w:szCs w:val="24"/>
        </w:rPr>
        <w:t xml:space="preserve"> [1985] AC 374, HL), which concerned the right of staff at GCHQ to join a trade union. He defined an unreasonable decision as being one:</w:t>
      </w:r>
    </w:p>
    <w:p w14:paraId="516BAD25" w14:textId="25BAE580" w:rsidR="00ED236D" w:rsidRPr="006C6002" w:rsidRDefault="009810AA" w:rsidP="00E86371">
      <w:pPr>
        <w:spacing w:line="360" w:lineRule="auto"/>
        <w:ind w:left="1440"/>
        <w:jc w:val="both"/>
        <w:rPr>
          <w:rFonts w:ascii="Calibri" w:hAnsi="Calibri" w:cs="Calibri"/>
          <w:i/>
          <w:iCs/>
          <w:sz w:val="24"/>
          <w:szCs w:val="24"/>
        </w:rPr>
      </w:pPr>
      <w:r w:rsidRPr="006C6002">
        <w:rPr>
          <w:rFonts w:ascii="Calibri" w:hAnsi="Calibri" w:cs="Calibri"/>
          <w:i/>
          <w:iCs/>
          <w:sz w:val="24"/>
          <w:szCs w:val="24"/>
        </w:rPr>
        <w:t>which is so outrageous in its defiance of logic or of accepted moral standards that no sensible person who had applied his mind to the question to be decided could have arrived at it.</w:t>
      </w:r>
    </w:p>
    <w:p w14:paraId="793D0FD2" w14:textId="77777777" w:rsidR="00892DE2" w:rsidRPr="006C6002" w:rsidRDefault="009810AA" w:rsidP="00892DE2">
      <w:pPr>
        <w:numPr>
          <w:ilvl w:val="0"/>
          <w:numId w:val="1"/>
        </w:numPr>
        <w:tabs>
          <w:tab w:val="num" w:pos="717"/>
        </w:tabs>
        <w:spacing w:after="240" w:line="360" w:lineRule="auto"/>
        <w:ind w:hanging="720"/>
        <w:jc w:val="both"/>
        <w:rPr>
          <w:rFonts w:ascii="Calibri" w:hAnsi="Calibri" w:cs="Calibri"/>
          <w:sz w:val="24"/>
          <w:szCs w:val="24"/>
        </w:rPr>
      </w:pPr>
      <w:r w:rsidRPr="006C6002">
        <w:rPr>
          <w:rFonts w:ascii="Calibri" w:hAnsi="Calibri" w:cs="Calibri"/>
          <w:sz w:val="24"/>
          <w:szCs w:val="24"/>
        </w:rPr>
        <w:t xml:space="preserve">This threshold is extremely difficult to meet, which is why the </w:t>
      </w:r>
      <w:r w:rsidRPr="006C6002">
        <w:rPr>
          <w:rFonts w:ascii="Calibri" w:hAnsi="Calibri" w:cs="Calibri"/>
          <w:i/>
          <w:iCs/>
          <w:sz w:val="24"/>
          <w:szCs w:val="24"/>
        </w:rPr>
        <w:t>Wednesbury</w:t>
      </w:r>
      <w:r w:rsidRPr="006C6002">
        <w:rPr>
          <w:rFonts w:ascii="Calibri" w:hAnsi="Calibri" w:cs="Calibri"/>
          <w:sz w:val="24"/>
          <w:szCs w:val="24"/>
        </w:rPr>
        <w:t xml:space="preserve"> ground is usually pleaded alongside other grounds such as relevancy. Note, though, the threshold will be a lower one, that of proportionality, when EC or HRA 1998 rights are engaged.</w:t>
      </w:r>
    </w:p>
    <w:p w14:paraId="0C240192" w14:textId="56F7BDE6" w:rsidR="009810AA" w:rsidRPr="006C6002" w:rsidRDefault="009810AA" w:rsidP="00892DE2">
      <w:pPr>
        <w:spacing w:after="240" w:line="360" w:lineRule="auto"/>
        <w:ind w:left="720"/>
        <w:jc w:val="both"/>
        <w:rPr>
          <w:rFonts w:ascii="Calibri" w:hAnsi="Calibri" w:cs="Calibri"/>
          <w:i/>
          <w:iCs/>
          <w:sz w:val="24"/>
          <w:szCs w:val="24"/>
        </w:rPr>
      </w:pPr>
      <w:r w:rsidRPr="006C6002">
        <w:rPr>
          <w:rFonts w:ascii="Calibri" w:hAnsi="Calibri" w:cs="Calibri"/>
          <w:i/>
          <w:iCs/>
          <w:sz w:val="24"/>
          <w:szCs w:val="24"/>
        </w:rPr>
        <w:lastRenderedPageBreak/>
        <w:t>Irrationality, justification and proportionality - impact of the Human Rights Act 1998</w:t>
      </w:r>
    </w:p>
    <w:p w14:paraId="5C5D04FF" w14:textId="3C397088" w:rsidR="009810AA" w:rsidRPr="006C6002" w:rsidRDefault="009810AA" w:rsidP="00892DE2">
      <w:pPr>
        <w:numPr>
          <w:ilvl w:val="0"/>
          <w:numId w:val="1"/>
        </w:numPr>
        <w:tabs>
          <w:tab w:val="num" w:pos="717"/>
        </w:tabs>
        <w:spacing w:after="240" w:line="360" w:lineRule="auto"/>
        <w:ind w:hanging="720"/>
        <w:jc w:val="both"/>
        <w:rPr>
          <w:rFonts w:ascii="Calibri" w:hAnsi="Calibri" w:cs="Calibri"/>
          <w:sz w:val="24"/>
          <w:szCs w:val="24"/>
        </w:rPr>
      </w:pPr>
      <w:r w:rsidRPr="006C6002">
        <w:rPr>
          <w:rFonts w:ascii="Calibri" w:hAnsi="Calibri" w:cs="Calibri"/>
          <w:sz w:val="24"/>
          <w:szCs w:val="24"/>
        </w:rPr>
        <w:t>To justify an interference with a qualified Convention right (e.g. Article 8) a State is required to demonstrate that the interference is:</w:t>
      </w:r>
    </w:p>
    <w:p w14:paraId="779584FF" w14:textId="77777777" w:rsidR="009810AA" w:rsidRPr="006C6002" w:rsidRDefault="009810AA" w:rsidP="00E86371">
      <w:pPr>
        <w:pStyle w:val="ListParagraph"/>
        <w:numPr>
          <w:ilvl w:val="0"/>
          <w:numId w:val="5"/>
        </w:numPr>
        <w:spacing w:line="360" w:lineRule="auto"/>
        <w:contextualSpacing w:val="0"/>
        <w:jc w:val="both"/>
        <w:rPr>
          <w:rFonts w:ascii="Calibri" w:hAnsi="Calibri" w:cs="Calibri"/>
          <w:sz w:val="24"/>
          <w:szCs w:val="24"/>
        </w:rPr>
      </w:pPr>
      <w:r w:rsidRPr="006C6002">
        <w:rPr>
          <w:rFonts w:ascii="Calibri" w:hAnsi="Calibri" w:cs="Calibri"/>
          <w:sz w:val="24"/>
          <w:szCs w:val="24"/>
        </w:rPr>
        <w:t xml:space="preserve">authorised by domestic </w:t>
      </w:r>
      <w:proofErr w:type="gramStart"/>
      <w:r w:rsidRPr="006C6002">
        <w:rPr>
          <w:rFonts w:ascii="Calibri" w:hAnsi="Calibri" w:cs="Calibri"/>
          <w:sz w:val="24"/>
          <w:szCs w:val="24"/>
        </w:rPr>
        <w:t>law;</w:t>
      </w:r>
      <w:proofErr w:type="gramEnd"/>
    </w:p>
    <w:p w14:paraId="3E1C2D16" w14:textId="77777777" w:rsidR="009810AA" w:rsidRPr="006C6002" w:rsidRDefault="009810AA" w:rsidP="00E86371">
      <w:pPr>
        <w:pStyle w:val="ListParagraph"/>
        <w:numPr>
          <w:ilvl w:val="0"/>
          <w:numId w:val="5"/>
        </w:numPr>
        <w:spacing w:line="360" w:lineRule="auto"/>
        <w:contextualSpacing w:val="0"/>
        <w:jc w:val="both"/>
        <w:rPr>
          <w:rFonts w:ascii="Calibri" w:hAnsi="Calibri" w:cs="Calibri"/>
          <w:sz w:val="24"/>
          <w:szCs w:val="24"/>
        </w:rPr>
      </w:pPr>
      <w:r w:rsidRPr="006C6002">
        <w:rPr>
          <w:rFonts w:ascii="Calibri" w:hAnsi="Calibri" w:cs="Calibri"/>
          <w:sz w:val="24"/>
          <w:szCs w:val="24"/>
        </w:rPr>
        <w:t>for the purpose of pursuing a legitimate aim; and</w:t>
      </w:r>
    </w:p>
    <w:p w14:paraId="5B287C93" w14:textId="14028FC1" w:rsidR="00CC6174" w:rsidRPr="006C6002" w:rsidRDefault="009810AA" w:rsidP="00E86371">
      <w:pPr>
        <w:pStyle w:val="ListParagraph"/>
        <w:numPr>
          <w:ilvl w:val="0"/>
          <w:numId w:val="5"/>
        </w:numPr>
        <w:spacing w:line="360" w:lineRule="auto"/>
        <w:contextualSpacing w:val="0"/>
        <w:jc w:val="both"/>
        <w:rPr>
          <w:rFonts w:ascii="Calibri" w:hAnsi="Calibri" w:cs="Calibri"/>
          <w:sz w:val="24"/>
          <w:szCs w:val="24"/>
        </w:rPr>
      </w:pPr>
      <w:r w:rsidRPr="006C6002">
        <w:rPr>
          <w:rFonts w:ascii="Calibri" w:hAnsi="Calibri" w:cs="Calibri"/>
          <w:sz w:val="24"/>
          <w:szCs w:val="24"/>
        </w:rPr>
        <w:t>is proportionate.</w:t>
      </w:r>
    </w:p>
    <w:p w14:paraId="176741C1" w14:textId="12921166" w:rsidR="00CC6174" w:rsidRPr="006C6002" w:rsidRDefault="009810AA" w:rsidP="00892DE2">
      <w:pPr>
        <w:numPr>
          <w:ilvl w:val="0"/>
          <w:numId w:val="1"/>
        </w:numPr>
        <w:tabs>
          <w:tab w:val="num" w:pos="717"/>
        </w:tabs>
        <w:spacing w:after="240" w:line="360" w:lineRule="auto"/>
        <w:ind w:hanging="720"/>
        <w:jc w:val="both"/>
        <w:rPr>
          <w:rFonts w:ascii="Calibri" w:hAnsi="Calibri" w:cs="Calibri"/>
          <w:sz w:val="24"/>
          <w:szCs w:val="24"/>
        </w:rPr>
      </w:pPr>
      <w:r w:rsidRPr="006C6002">
        <w:rPr>
          <w:rFonts w:ascii="Calibri" w:hAnsi="Calibri" w:cs="Calibri"/>
          <w:sz w:val="24"/>
          <w:szCs w:val="24"/>
        </w:rPr>
        <w:t xml:space="preserve">Note the onus on the public authority to make out their justification, in contrast to traditional </w:t>
      </w:r>
      <w:r w:rsidRPr="006C6002">
        <w:rPr>
          <w:rFonts w:ascii="Calibri" w:hAnsi="Calibri" w:cs="Calibri"/>
          <w:i/>
          <w:iCs/>
          <w:sz w:val="24"/>
          <w:szCs w:val="24"/>
        </w:rPr>
        <w:t>Wednesbury</w:t>
      </w:r>
      <w:r w:rsidRPr="006C6002">
        <w:rPr>
          <w:rFonts w:ascii="Calibri" w:hAnsi="Calibri" w:cs="Calibri"/>
          <w:sz w:val="24"/>
          <w:szCs w:val="24"/>
        </w:rPr>
        <w:t xml:space="preserve"> where the onus is on the claimant to establish irrationality.</w:t>
      </w:r>
    </w:p>
    <w:p w14:paraId="11146110" w14:textId="04E33E69" w:rsidR="00CC6174" w:rsidRPr="006C6002" w:rsidRDefault="009810AA" w:rsidP="00892DE2">
      <w:pPr>
        <w:numPr>
          <w:ilvl w:val="0"/>
          <w:numId w:val="1"/>
        </w:numPr>
        <w:tabs>
          <w:tab w:val="num" w:pos="717"/>
        </w:tabs>
        <w:spacing w:after="240" w:line="360" w:lineRule="auto"/>
        <w:ind w:hanging="720"/>
        <w:jc w:val="both"/>
        <w:rPr>
          <w:rFonts w:ascii="Calibri" w:hAnsi="Calibri" w:cs="Calibri"/>
          <w:sz w:val="24"/>
          <w:szCs w:val="24"/>
        </w:rPr>
      </w:pPr>
      <w:r w:rsidRPr="006C6002">
        <w:rPr>
          <w:rFonts w:ascii="Calibri" w:hAnsi="Calibri" w:cs="Calibri"/>
          <w:sz w:val="24"/>
          <w:szCs w:val="24"/>
        </w:rPr>
        <w:t>Assertions by public authorities that interferences are justified will need to be substantiated by evidence.</w:t>
      </w:r>
    </w:p>
    <w:p w14:paraId="5235F25C" w14:textId="5E6A0FCA" w:rsidR="00ED56ED" w:rsidRPr="0087138A" w:rsidRDefault="009810AA" w:rsidP="0087138A">
      <w:pPr>
        <w:numPr>
          <w:ilvl w:val="0"/>
          <w:numId w:val="1"/>
        </w:numPr>
        <w:tabs>
          <w:tab w:val="num" w:pos="717"/>
        </w:tabs>
        <w:spacing w:after="240" w:line="360" w:lineRule="auto"/>
        <w:ind w:hanging="720"/>
        <w:jc w:val="both"/>
        <w:rPr>
          <w:rFonts w:ascii="Calibri" w:hAnsi="Calibri" w:cs="Calibri"/>
          <w:sz w:val="24"/>
          <w:szCs w:val="24"/>
        </w:rPr>
      </w:pPr>
      <w:r w:rsidRPr="006C6002">
        <w:rPr>
          <w:rFonts w:ascii="Calibri" w:hAnsi="Calibri" w:cs="Calibri"/>
          <w:sz w:val="24"/>
          <w:szCs w:val="24"/>
        </w:rPr>
        <w:t>In general terms, the concept of proportionality requires a balancing exercise between, on the one hand, the general interests of the community and the legitimate aims of the state and, on the other, the protection of the individual’s rights and interests</w:t>
      </w:r>
    </w:p>
    <w:sectPr w:rsidR="00ED56ED" w:rsidRPr="0087138A">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03AF19" w14:textId="77777777" w:rsidR="00033F2C" w:rsidRDefault="00033F2C" w:rsidP="00E17434">
      <w:pPr>
        <w:spacing w:after="0" w:line="240" w:lineRule="auto"/>
      </w:pPr>
      <w:r>
        <w:separator/>
      </w:r>
    </w:p>
  </w:endnote>
  <w:endnote w:type="continuationSeparator" w:id="0">
    <w:p w14:paraId="29EC28B4" w14:textId="77777777" w:rsidR="00033F2C" w:rsidRDefault="00033F2C" w:rsidP="00E17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801203"/>
      <w:docPartObj>
        <w:docPartGallery w:val="Page Numbers (Bottom of Page)"/>
        <w:docPartUnique/>
      </w:docPartObj>
    </w:sdtPr>
    <w:sdtEndPr>
      <w:rPr>
        <w:rFonts w:ascii="Arial" w:hAnsi="Arial" w:cs="Arial"/>
        <w:noProof/>
        <w:sz w:val="20"/>
        <w:szCs w:val="20"/>
      </w:rPr>
    </w:sdtEndPr>
    <w:sdtContent>
      <w:p w14:paraId="05430AC7" w14:textId="6574CF9D" w:rsidR="00ED236D" w:rsidRPr="00E719BA" w:rsidRDefault="00ED236D" w:rsidP="00E719BA">
        <w:pPr>
          <w:pStyle w:val="Footer"/>
          <w:jc w:val="center"/>
          <w:rPr>
            <w:rFonts w:ascii="Arial" w:hAnsi="Arial" w:cs="Arial"/>
            <w:sz w:val="20"/>
            <w:szCs w:val="20"/>
          </w:rPr>
        </w:pPr>
        <w:r w:rsidRPr="00E719BA">
          <w:rPr>
            <w:rFonts w:ascii="Arial" w:hAnsi="Arial" w:cs="Arial"/>
            <w:sz w:val="20"/>
            <w:szCs w:val="20"/>
          </w:rPr>
          <w:fldChar w:fldCharType="begin"/>
        </w:r>
        <w:r w:rsidRPr="00E719BA">
          <w:rPr>
            <w:rFonts w:ascii="Arial" w:hAnsi="Arial" w:cs="Arial"/>
            <w:sz w:val="20"/>
            <w:szCs w:val="20"/>
          </w:rPr>
          <w:instrText xml:space="preserve"> PAGE   \* MERGEFORMAT </w:instrText>
        </w:r>
        <w:r w:rsidRPr="00E719BA">
          <w:rPr>
            <w:rFonts w:ascii="Arial" w:hAnsi="Arial" w:cs="Arial"/>
            <w:sz w:val="20"/>
            <w:szCs w:val="20"/>
          </w:rPr>
          <w:fldChar w:fldCharType="separate"/>
        </w:r>
        <w:r w:rsidRPr="00E719BA">
          <w:rPr>
            <w:rFonts w:ascii="Arial" w:hAnsi="Arial" w:cs="Arial"/>
            <w:noProof/>
            <w:sz w:val="20"/>
            <w:szCs w:val="20"/>
          </w:rPr>
          <w:t>2</w:t>
        </w:r>
        <w:r w:rsidRPr="00E719BA">
          <w:rPr>
            <w:rFonts w:ascii="Arial" w:hAnsi="Arial" w:cs="Arial"/>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B26A55" w14:textId="77777777" w:rsidR="00033F2C" w:rsidRDefault="00033F2C" w:rsidP="00E17434">
      <w:pPr>
        <w:spacing w:after="0" w:line="240" w:lineRule="auto"/>
      </w:pPr>
      <w:r>
        <w:separator/>
      </w:r>
    </w:p>
  </w:footnote>
  <w:footnote w:type="continuationSeparator" w:id="0">
    <w:p w14:paraId="6B7F3778" w14:textId="77777777" w:rsidR="00033F2C" w:rsidRDefault="00033F2C" w:rsidP="00E17434">
      <w:pPr>
        <w:spacing w:after="0" w:line="240" w:lineRule="auto"/>
      </w:pPr>
      <w:r>
        <w:continuationSeparator/>
      </w:r>
    </w:p>
  </w:footnote>
  <w:footnote w:id="1">
    <w:p w14:paraId="3F7F3A05" w14:textId="5844113E" w:rsidR="00E17434" w:rsidRPr="007048A9" w:rsidRDefault="00E17434" w:rsidP="00E17434">
      <w:pPr>
        <w:pStyle w:val="FootnoteText"/>
        <w:rPr>
          <w:rFonts w:ascii="Calibri" w:hAnsi="Calibri" w:cs="Calibri"/>
          <w:sz w:val="18"/>
          <w:szCs w:val="18"/>
          <w:lang w:val="en-US"/>
        </w:rPr>
      </w:pPr>
      <w:r w:rsidRPr="007048A9">
        <w:rPr>
          <w:rStyle w:val="FootnoteReference"/>
          <w:rFonts w:ascii="Calibri" w:hAnsi="Calibri" w:cs="Calibri"/>
          <w:sz w:val="18"/>
          <w:szCs w:val="18"/>
        </w:rPr>
        <w:footnoteRef/>
      </w:r>
      <w:r w:rsidRPr="007048A9">
        <w:rPr>
          <w:rFonts w:ascii="Calibri" w:hAnsi="Calibri" w:cs="Calibri"/>
          <w:sz w:val="18"/>
          <w:szCs w:val="18"/>
        </w:rPr>
        <w:t xml:space="preserve"> </w:t>
      </w:r>
      <w:r w:rsidRPr="007048A9">
        <w:rPr>
          <w:rFonts w:ascii="Calibri" w:eastAsia="Calibri" w:hAnsi="Calibri" w:cs="Calibri"/>
          <w:color w:val="000000"/>
          <w:kern w:val="0"/>
          <w:sz w:val="18"/>
          <w:szCs w:val="18"/>
          <w:lang w:val="en-US"/>
          <w14:ligatures w14:val="none"/>
        </w:rPr>
        <w:t xml:space="preserve">With thanks for their input into these materials to Azeem </w:t>
      </w:r>
      <w:proofErr w:type="spellStart"/>
      <w:r w:rsidRPr="007048A9">
        <w:rPr>
          <w:rFonts w:ascii="Calibri" w:eastAsia="Calibri" w:hAnsi="Calibri" w:cs="Calibri"/>
          <w:color w:val="000000"/>
          <w:kern w:val="0"/>
          <w:sz w:val="18"/>
          <w:szCs w:val="18"/>
          <w:lang w:val="en-US"/>
          <w14:ligatures w14:val="none"/>
        </w:rPr>
        <w:t>Suterwalla</w:t>
      </w:r>
      <w:proofErr w:type="spellEnd"/>
      <w:r w:rsidR="005D29A8" w:rsidRPr="007048A9">
        <w:rPr>
          <w:rFonts w:ascii="Calibri" w:eastAsia="Calibri" w:hAnsi="Calibri" w:cs="Calibri"/>
          <w:color w:val="000000"/>
          <w:kern w:val="0"/>
          <w:sz w:val="18"/>
          <w:szCs w:val="18"/>
          <w:lang w:val="en-US"/>
          <w14:ligatures w14:val="none"/>
        </w:rPr>
        <w:t xml:space="preserve"> of Monckton Chambers,</w:t>
      </w:r>
      <w:r w:rsidRPr="007048A9">
        <w:rPr>
          <w:rFonts w:ascii="Calibri" w:eastAsia="Calibri" w:hAnsi="Calibri" w:cs="Calibri"/>
          <w:color w:val="000000"/>
          <w:kern w:val="0"/>
          <w:sz w:val="18"/>
          <w:szCs w:val="18"/>
          <w:lang w:val="en-US"/>
          <w14:ligatures w14:val="none"/>
        </w:rPr>
        <w:t xml:space="preserve"> Martha Spurrier of Doughty Street Chambers</w:t>
      </w:r>
      <w:r w:rsidR="00593966" w:rsidRPr="007048A9">
        <w:rPr>
          <w:rFonts w:ascii="Calibri" w:eastAsia="Calibri" w:hAnsi="Calibri" w:cs="Calibri"/>
          <w:color w:val="000000"/>
          <w:kern w:val="0"/>
          <w:sz w:val="18"/>
          <w:szCs w:val="18"/>
          <w:lang w:val="en-US"/>
          <w14:ligatures w14:val="none"/>
        </w:rPr>
        <w:t>, and</w:t>
      </w:r>
      <w:r w:rsidRPr="007048A9">
        <w:rPr>
          <w:rFonts w:ascii="Calibri" w:eastAsia="Calibri" w:hAnsi="Calibri" w:cs="Calibri"/>
          <w:color w:val="000000"/>
          <w:kern w:val="0"/>
          <w:sz w:val="18"/>
          <w:szCs w:val="18"/>
          <w:lang w:val="en-US"/>
          <w14:ligatures w14:val="none"/>
        </w:rPr>
        <w:t xml:space="preserve"> Jared Ficklin of Garden Court North.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93AC3" w14:textId="09062843" w:rsidR="000C7081" w:rsidRDefault="00BB67E0">
    <w:pPr>
      <w:pStyle w:val="Header"/>
    </w:pPr>
    <w:r>
      <w:rPr>
        <w:rFonts w:ascii="Arial" w:eastAsia="Arial" w:hAnsi="Arial" w:cs="Arial"/>
        <w:b/>
        <w:noProof/>
        <w:color w:val="000000"/>
        <w:sz w:val="24"/>
        <w:szCs w:val="24"/>
      </w:rPr>
      <w:drawing>
        <wp:anchor distT="0" distB="0" distL="114300" distR="114300" simplePos="0" relativeHeight="251659264" behindDoc="0" locked="0" layoutInCell="1" allowOverlap="1" wp14:anchorId="4C433DB9" wp14:editId="5932E38A">
          <wp:simplePos x="0" y="0"/>
          <wp:positionH relativeFrom="column">
            <wp:posOffset>5706745</wp:posOffset>
          </wp:positionH>
          <wp:positionV relativeFrom="paragraph">
            <wp:posOffset>-306070</wp:posOffset>
          </wp:positionV>
          <wp:extent cx="745200" cy="586800"/>
          <wp:effectExtent l="0" t="0" r="0" b="3810"/>
          <wp:wrapNone/>
          <wp:docPr id="82599084" name="Picture" descr="A blue cube with black text&#10;&#10;Description automatically generated"/>
          <wp:cNvGraphicFramePr/>
          <a:graphic xmlns:a="http://schemas.openxmlformats.org/drawingml/2006/main">
            <a:graphicData uri="http://schemas.openxmlformats.org/drawingml/2006/picture">
              <pic:pic xmlns:pic="http://schemas.openxmlformats.org/drawingml/2006/picture">
                <pic:nvPicPr>
                  <pic:cNvPr id="1762667007" name="Picture" descr="A blue cube with black text&#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745200" cy="586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6262C"/>
    <w:multiLevelType w:val="hybridMultilevel"/>
    <w:tmpl w:val="98A8D102"/>
    <w:lvl w:ilvl="0" w:tplc="15CEF078">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 w15:restartNumberingAfterBreak="0">
    <w:nsid w:val="20C4248E"/>
    <w:multiLevelType w:val="hybridMultilevel"/>
    <w:tmpl w:val="ECE495BA"/>
    <w:lvl w:ilvl="0" w:tplc="15CEF078">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2436576D"/>
    <w:multiLevelType w:val="hybridMultilevel"/>
    <w:tmpl w:val="665E858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2F947321"/>
    <w:multiLevelType w:val="hybridMultilevel"/>
    <w:tmpl w:val="EF8A48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177524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7E17760"/>
    <w:multiLevelType w:val="hybridMultilevel"/>
    <w:tmpl w:val="785264C8"/>
    <w:lvl w:ilvl="0" w:tplc="08090001">
      <w:start w:val="1"/>
      <w:numFmt w:val="bullet"/>
      <w:lvlText w:val=""/>
      <w:lvlJc w:val="left"/>
      <w:pPr>
        <w:ind w:left="1080" w:hanging="360"/>
      </w:pPr>
      <w:rPr>
        <w:rFonts w:ascii="Symbol" w:hAnsi="Symbol" w:hint="default"/>
      </w:rPr>
    </w:lvl>
    <w:lvl w:ilvl="1" w:tplc="FFFFFFFF">
      <w:numFmt w:val="bullet"/>
      <w:lvlText w:val="•"/>
      <w:lvlJc w:val="left"/>
      <w:pPr>
        <w:ind w:left="2160" w:hanging="720"/>
      </w:pPr>
      <w:rPr>
        <w:rFonts w:ascii="Arial" w:eastAsiaTheme="minorHAnsi" w:hAnsi="Arial" w:cs="Arial"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495764F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5A0D5D69"/>
    <w:multiLevelType w:val="hybridMultilevel"/>
    <w:tmpl w:val="F7B47C2C"/>
    <w:lvl w:ilvl="0" w:tplc="11F6561C">
      <w:numFmt w:val="bullet"/>
      <w:lvlText w:val="·"/>
      <w:lvlJc w:val="left"/>
      <w:pPr>
        <w:ind w:left="1080" w:hanging="72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C6C5CD5"/>
    <w:multiLevelType w:val="hybridMultilevel"/>
    <w:tmpl w:val="5D8658F2"/>
    <w:lvl w:ilvl="0" w:tplc="3E886036">
      <w:numFmt w:val="bullet"/>
      <w:lvlText w:val="•"/>
      <w:lvlJc w:val="left"/>
      <w:pPr>
        <w:ind w:left="1080" w:hanging="360"/>
      </w:pPr>
      <w:rPr>
        <w:rFonts w:ascii="Arial" w:eastAsiaTheme="minorHAnsi"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5EC27C19"/>
    <w:multiLevelType w:val="hybridMultilevel"/>
    <w:tmpl w:val="1C207AB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64FB3C36"/>
    <w:multiLevelType w:val="hybridMultilevel"/>
    <w:tmpl w:val="41CCA044"/>
    <w:lvl w:ilvl="0" w:tplc="0809000F">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 w15:restartNumberingAfterBreak="0">
    <w:nsid w:val="67893B67"/>
    <w:multiLevelType w:val="hybridMultilevel"/>
    <w:tmpl w:val="4A5075AA"/>
    <w:lvl w:ilvl="0" w:tplc="11F6561C">
      <w:numFmt w:val="bullet"/>
      <w:lvlText w:val="·"/>
      <w:lvlJc w:val="left"/>
      <w:pPr>
        <w:ind w:left="1440" w:hanging="720"/>
      </w:pPr>
      <w:rPr>
        <w:rFonts w:ascii="Arial" w:eastAsiaTheme="minorHAnsi"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E673D13"/>
    <w:multiLevelType w:val="hybridMultilevel"/>
    <w:tmpl w:val="E556B07E"/>
    <w:lvl w:ilvl="0" w:tplc="0809000F">
      <w:start w:val="1"/>
      <w:numFmt w:val="decimal"/>
      <w:lvlText w:val="%1."/>
      <w:lvlJc w:val="left"/>
      <w:pPr>
        <w:ind w:left="720" w:hanging="360"/>
      </w:pPr>
      <w:rPr>
        <w:rFonts w:hint="default"/>
      </w:rPr>
    </w:lvl>
    <w:lvl w:ilvl="1" w:tplc="3E886036">
      <w:numFmt w:val="bullet"/>
      <w:lvlText w:val="•"/>
      <w:lvlJc w:val="left"/>
      <w:pPr>
        <w:ind w:left="1800" w:hanging="720"/>
      </w:pPr>
      <w:rPr>
        <w:rFonts w:ascii="Arial" w:eastAsiaTheme="minorHAnsi" w:hAnsi="Arial" w:cs="Aria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7FA01D0"/>
    <w:multiLevelType w:val="hybridMultilevel"/>
    <w:tmpl w:val="5AEC630C"/>
    <w:lvl w:ilvl="0" w:tplc="3E886036">
      <w:numFmt w:val="bullet"/>
      <w:lvlText w:val="•"/>
      <w:lvlJc w:val="left"/>
      <w:pPr>
        <w:ind w:left="1080" w:hanging="360"/>
      </w:pPr>
      <w:rPr>
        <w:rFonts w:ascii="Arial" w:eastAsiaTheme="minorHAnsi"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976715288">
    <w:abstractNumId w:val="12"/>
  </w:num>
  <w:num w:numId="2" w16cid:durableId="469441691">
    <w:abstractNumId w:val="1"/>
  </w:num>
  <w:num w:numId="3" w16cid:durableId="960960594">
    <w:abstractNumId w:val="2"/>
  </w:num>
  <w:num w:numId="4" w16cid:durableId="504708689">
    <w:abstractNumId w:val="9"/>
  </w:num>
  <w:num w:numId="5" w16cid:durableId="1894920536">
    <w:abstractNumId w:val="5"/>
  </w:num>
  <w:num w:numId="6" w16cid:durableId="2110737467">
    <w:abstractNumId w:val="3"/>
  </w:num>
  <w:num w:numId="7" w16cid:durableId="759255382">
    <w:abstractNumId w:val="7"/>
  </w:num>
  <w:num w:numId="8" w16cid:durableId="1429807498">
    <w:abstractNumId w:val="11"/>
  </w:num>
  <w:num w:numId="9" w16cid:durableId="2044745186">
    <w:abstractNumId w:val="13"/>
  </w:num>
  <w:num w:numId="10" w16cid:durableId="2098136299">
    <w:abstractNumId w:val="8"/>
  </w:num>
  <w:num w:numId="11" w16cid:durableId="789204917">
    <w:abstractNumId w:val="10"/>
  </w:num>
  <w:num w:numId="12" w16cid:durableId="719791761">
    <w:abstractNumId w:val="0"/>
  </w:num>
  <w:num w:numId="13" w16cid:durableId="1734428711">
    <w:abstractNumId w:val="4"/>
  </w:num>
  <w:num w:numId="14" w16cid:durableId="8508349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7434"/>
    <w:rsid w:val="000314DF"/>
    <w:rsid w:val="00033F2C"/>
    <w:rsid w:val="000C7081"/>
    <w:rsid w:val="0012718B"/>
    <w:rsid w:val="0018290E"/>
    <w:rsid w:val="00255289"/>
    <w:rsid w:val="00257D51"/>
    <w:rsid w:val="00315069"/>
    <w:rsid w:val="00450C42"/>
    <w:rsid w:val="004976EF"/>
    <w:rsid w:val="00577D86"/>
    <w:rsid w:val="00593966"/>
    <w:rsid w:val="005D29A8"/>
    <w:rsid w:val="005F0814"/>
    <w:rsid w:val="005F2797"/>
    <w:rsid w:val="005F7A85"/>
    <w:rsid w:val="006B6975"/>
    <w:rsid w:val="006C6002"/>
    <w:rsid w:val="007048A9"/>
    <w:rsid w:val="007113A1"/>
    <w:rsid w:val="007223D0"/>
    <w:rsid w:val="007B2252"/>
    <w:rsid w:val="00806D85"/>
    <w:rsid w:val="0087138A"/>
    <w:rsid w:val="00873982"/>
    <w:rsid w:val="00892DE2"/>
    <w:rsid w:val="009005D8"/>
    <w:rsid w:val="00951CAC"/>
    <w:rsid w:val="009810AA"/>
    <w:rsid w:val="009C3791"/>
    <w:rsid w:val="009E3B2C"/>
    <w:rsid w:val="00A939A9"/>
    <w:rsid w:val="00AB170F"/>
    <w:rsid w:val="00BB67E0"/>
    <w:rsid w:val="00BF22FC"/>
    <w:rsid w:val="00C7066B"/>
    <w:rsid w:val="00CC6174"/>
    <w:rsid w:val="00CD3F09"/>
    <w:rsid w:val="00DC4C4C"/>
    <w:rsid w:val="00DE27A7"/>
    <w:rsid w:val="00E17434"/>
    <w:rsid w:val="00E719BA"/>
    <w:rsid w:val="00E720FA"/>
    <w:rsid w:val="00E86371"/>
    <w:rsid w:val="00ED236D"/>
    <w:rsid w:val="00ED56ED"/>
    <w:rsid w:val="00EE32DD"/>
    <w:rsid w:val="00F63FB3"/>
    <w:rsid w:val="00F90235"/>
    <w:rsid w:val="00FA634E"/>
    <w:rsid w:val="00FC10B7"/>
    <w:rsid w:val="00FF49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20E28"/>
  <w15:chartTrackingRefBased/>
  <w15:docId w15:val="{BA449F29-B9C6-4610-BD72-7C8F143C32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1743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1743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1743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1743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1743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1743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1743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1743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1743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1743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1743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1743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1743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1743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1743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1743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1743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17434"/>
    <w:rPr>
      <w:rFonts w:eastAsiaTheme="majorEastAsia" w:cstheme="majorBidi"/>
      <w:color w:val="272727" w:themeColor="text1" w:themeTint="D8"/>
    </w:rPr>
  </w:style>
  <w:style w:type="paragraph" w:styleId="Title">
    <w:name w:val="Title"/>
    <w:basedOn w:val="Normal"/>
    <w:next w:val="Normal"/>
    <w:link w:val="TitleChar"/>
    <w:uiPriority w:val="10"/>
    <w:qFormat/>
    <w:rsid w:val="00E1743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1743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1743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1743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17434"/>
    <w:pPr>
      <w:spacing w:before="160"/>
      <w:jc w:val="center"/>
    </w:pPr>
    <w:rPr>
      <w:i/>
      <w:iCs/>
      <w:color w:val="404040" w:themeColor="text1" w:themeTint="BF"/>
    </w:rPr>
  </w:style>
  <w:style w:type="character" w:customStyle="1" w:styleId="QuoteChar">
    <w:name w:val="Quote Char"/>
    <w:basedOn w:val="DefaultParagraphFont"/>
    <w:link w:val="Quote"/>
    <w:uiPriority w:val="29"/>
    <w:rsid w:val="00E17434"/>
    <w:rPr>
      <w:i/>
      <w:iCs/>
      <w:color w:val="404040" w:themeColor="text1" w:themeTint="BF"/>
    </w:rPr>
  </w:style>
  <w:style w:type="paragraph" w:styleId="ListParagraph">
    <w:name w:val="List Paragraph"/>
    <w:basedOn w:val="Normal"/>
    <w:uiPriority w:val="34"/>
    <w:qFormat/>
    <w:rsid w:val="00E17434"/>
    <w:pPr>
      <w:ind w:left="720"/>
      <w:contextualSpacing/>
    </w:pPr>
  </w:style>
  <w:style w:type="character" w:styleId="IntenseEmphasis">
    <w:name w:val="Intense Emphasis"/>
    <w:basedOn w:val="DefaultParagraphFont"/>
    <w:uiPriority w:val="21"/>
    <w:qFormat/>
    <w:rsid w:val="00E17434"/>
    <w:rPr>
      <w:i/>
      <w:iCs/>
      <w:color w:val="0F4761" w:themeColor="accent1" w:themeShade="BF"/>
    </w:rPr>
  </w:style>
  <w:style w:type="paragraph" w:styleId="IntenseQuote">
    <w:name w:val="Intense Quote"/>
    <w:basedOn w:val="Normal"/>
    <w:next w:val="Normal"/>
    <w:link w:val="IntenseQuoteChar"/>
    <w:uiPriority w:val="30"/>
    <w:qFormat/>
    <w:rsid w:val="00E1743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17434"/>
    <w:rPr>
      <w:i/>
      <w:iCs/>
      <w:color w:val="0F4761" w:themeColor="accent1" w:themeShade="BF"/>
    </w:rPr>
  </w:style>
  <w:style w:type="character" w:styleId="IntenseReference">
    <w:name w:val="Intense Reference"/>
    <w:basedOn w:val="DefaultParagraphFont"/>
    <w:uiPriority w:val="32"/>
    <w:qFormat/>
    <w:rsid w:val="00E17434"/>
    <w:rPr>
      <w:b/>
      <w:bCs/>
      <w:smallCaps/>
      <w:color w:val="0F4761" w:themeColor="accent1" w:themeShade="BF"/>
      <w:spacing w:val="5"/>
    </w:rPr>
  </w:style>
  <w:style w:type="paragraph" w:styleId="FootnoteText">
    <w:name w:val="footnote text"/>
    <w:basedOn w:val="Normal"/>
    <w:link w:val="FootnoteTextChar"/>
    <w:uiPriority w:val="99"/>
    <w:semiHidden/>
    <w:unhideWhenUsed/>
    <w:rsid w:val="00E1743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17434"/>
    <w:rPr>
      <w:sz w:val="20"/>
      <w:szCs w:val="20"/>
    </w:rPr>
  </w:style>
  <w:style w:type="character" w:styleId="FootnoteReference">
    <w:name w:val="footnote reference"/>
    <w:basedOn w:val="DefaultParagraphFont"/>
    <w:uiPriority w:val="99"/>
    <w:semiHidden/>
    <w:unhideWhenUsed/>
    <w:rsid w:val="00E17434"/>
    <w:rPr>
      <w:vertAlign w:val="superscript"/>
    </w:rPr>
  </w:style>
  <w:style w:type="paragraph" w:styleId="Header">
    <w:name w:val="header"/>
    <w:basedOn w:val="Normal"/>
    <w:link w:val="HeaderChar"/>
    <w:uiPriority w:val="99"/>
    <w:unhideWhenUsed/>
    <w:rsid w:val="000C7081"/>
    <w:pPr>
      <w:tabs>
        <w:tab w:val="center" w:pos="4513"/>
        <w:tab w:val="right" w:pos="9026"/>
      </w:tabs>
      <w:spacing w:after="0" w:line="240" w:lineRule="auto"/>
    </w:pPr>
  </w:style>
  <w:style w:type="character" w:customStyle="1" w:styleId="HeaderChar">
    <w:name w:val="Header Char"/>
    <w:basedOn w:val="DefaultParagraphFont"/>
    <w:link w:val="Header"/>
    <w:uiPriority w:val="99"/>
    <w:rsid w:val="000C7081"/>
  </w:style>
  <w:style w:type="paragraph" w:styleId="Footer">
    <w:name w:val="footer"/>
    <w:basedOn w:val="Normal"/>
    <w:link w:val="FooterChar"/>
    <w:uiPriority w:val="99"/>
    <w:unhideWhenUsed/>
    <w:rsid w:val="000C7081"/>
    <w:pPr>
      <w:tabs>
        <w:tab w:val="center" w:pos="4513"/>
        <w:tab w:val="right" w:pos="9026"/>
      </w:tabs>
      <w:spacing w:after="0" w:line="240" w:lineRule="auto"/>
    </w:pPr>
  </w:style>
  <w:style w:type="character" w:customStyle="1" w:styleId="FooterChar">
    <w:name w:val="Footer Char"/>
    <w:basedOn w:val="DefaultParagraphFont"/>
    <w:link w:val="Footer"/>
    <w:uiPriority w:val="99"/>
    <w:rsid w:val="000C7081"/>
  </w:style>
  <w:style w:type="paragraph" w:styleId="Revision">
    <w:name w:val="Revision"/>
    <w:hidden/>
    <w:uiPriority w:val="99"/>
    <w:semiHidden/>
    <w:rsid w:val="005D29A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23b5e08-ba8c-4bd7-b20e-cbe7492a46ba">
      <Terms xmlns="http://schemas.microsoft.com/office/infopath/2007/PartnerControls"/>
    </lcf76f155ced4ddcb4097134ff3c332f>
    <TaxCatchAll xmlns="47bbf43c-25fc-4f07-bd62-31a705b9da0f"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8971894E759C54CA62FDFBAEA51422C" ma:contentTypeVersion="13" ma:contentTypeDescription="Create a new document." ma:contentTypeScope="" ma:versionID="78639c87937801e53b4fc773e18bbb64">
  <xsd:schema xmlns:xsd="http://www.w3.org/2001/XMLSchema" xmlns:xs="http://www.w3.org/2001/XMLSchema" xmlns:p="http://schemas.microsoft.com/office/2006/metadata/properties" xmlns:ns2="b23b5e08-ba8c-4bd7-b20e-cbe7492a46ba" xmlns:ns3="47bbf43c-25fc-4f07-bd62-31a705b9da0f" targetNamespace="http://schemas.microsoft.com/office/2006/metadata/properties" ma:root="true" ma:fieldsID="c74183b2a3ff80a52ddea92a106f23b7" ns2:_="" ns3:_="">
    <xsd:import namespace="b23b5e08-ba8c-4bd7-b20e-cbe7492a46ba"/>
    <xsd:import namespace="47bbf43c-25fc-4f07-bd62-31a705b9da0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3b5e08-ba8c-4bd7-b20e-cbe7492a46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34e5a3e9-c3e2-4c28-a279-a208435469ef"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bbf43c-25fc-4f07-bd62-31a705b9da0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bf782e3-0666-4f55-ab28-479151f8830a}" ma:internalName="TaxCatchAll" ma:showField="CatchAllData" ma:web="47bbf43c-25fc-4f07-bd62-31a705b9da0f">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4C0A6-618C-441B-B2A6-51302A8411F7}">
  <ds:schemaRefs>
    <ds:schemaRef ds:uri="http://schemas.microsoft.com/office/2006/metadata/properties"/>
    <ds:schemaRef ds:uri="http://schemas.microsoft.com/office/infopath/2007/PartnerControls"/>
    <ds:schemaRef ds:uri="b23b5e08-ba8c-4bd7-b20e-cbe7492a46ba"/>
    <ds:schemaRef ds:uri="47bbf43c-25fc-4f07-bd62-31a705b9da0f"/>
  </ds:schemaRefs>
</ds:datastoreItem>
</file>

<file path=customXml/itemProps2.xml><?xml version="1.0" encoding="utf-8"?>
<ds:datastoreItem xmlns:ds="http://schemas.openxmlformats.org/officeDocument/2006/customXml" ds:itemID="{0EA05CBB-4C24-4C89-B6C1-A568A99BC479}">
  <ds:schemaRefs>
    <ds:schemaRef ds:uri="http://schemas.openxmlformats.org/officeDocument/2006/bibliography"/>
  </ds:schemaRefs>
</ds:datastoreItem>
</file>

<file path=customXml/itemProps3.xml><?xml version="1.0" encoding="utf-8"?>
<ds:datastoreItem xmlns:ds="http://schemas.openxmlformats.org/officeDocument/2006/customXml" ds:itemID="{15B52BC1-F41A-49CD-95DE-1D74C6E597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3b5e08-ba8c-4bd7-b20e-cbe7492a46ba"/>
    <ds:schemaRef ds:uri="47bbf43c-25fc-4f07-bd62-31a705b9da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7B0227-F896-45FD-B389-6A28D983BAD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11</Pages>
  <Words>2872</Words>
  <Characters>16371</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Nicole Chen</dc:creator>
  <cp:keywords/>
  <dc:description/>
  <cp:lastModifiedBy>Nicole Chen</cp:lastModifiedBy>
  <cp:revision>17</cp:revision>
  <dcterms:created xsi:type="dcterms:W3CDTF">2024-11-15T16:05:00Z</dcterms:created>
  <dcterms:modified xsi:type="dcterms:W3CDTF">2026-04-10T09:35:00Z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0x010100B8971894E759C54CA62FDFBAEA51422C</vt:lpwstr>
  </property>
  <property fmtid="{D5CDD505-2E9C-101B-9397-08002B2CF9AE}" pid="3" name="MediaServiceImageTags">
    <vt:lpwstr/>
  </property>
</Properties>
</file>